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442D5" w14:textId="7BE47949" w:rsidR="008F7A0F" w:rsidRPr="00B646C4" w:rsidRDefault="00BA5DB4">
      <w:pPr>
        <w:pStyle w:val="CorpoA"/>
        <w:spacing w:line="240" w:lineRule="auto"/>
        <w:jc w:val="center"/>
        <w:rPr>
          <w:b/>
          <w:bCs/>
          <w:color w:val="FF0000"/>
          <w:u w:color="FF0000"/>
        </w:rPr>
      </w:pPr>
      <w:r>
        <w:rPr>
          <w:b/>
          <w:bCs/>
        </w:rPr>
        <w:t xml:space="preserve">ANALYSIS </w:t>
      </w:r>
      <w:bookmarkStart w:id="0" w:name="_GoBack"/>
      <w:bookmarkEnd w:id="0"/>
      <w:r w:rsidR="00111B74" w:rsidRPr="00B646C4">
        <w:rPr>
          <w:b/>
          <w:bCs/>
        </w:rPr>
        <w:t>OF THE PSYCHIATRIC HOSPITALIZATIONS THROUGH THE SUS IN PIAUÍ, BRAZIL, FROM 2008 TO 2020</w:t>
      </w:r>
    </w:p>
    <w:p w14:paraId="3444E00A" w14:textId="77777777" w:rsidR="008F7A0F" w:rsidRPr="00E77F63" w:rsidRDefault="008F7A0F">
      <w:pPr>
        <w:pStyle w:val="CorpoA"/>
        <w:spacing w:line="240" w:lineRule="auto"/>
        <w:rPr>
          <w:color w:val="FF0000"/>
          <w:u w:color="FF0000"/>
        </w:rPr>
      </w:pPr>
    </w:p>
    <w:p w14:paraId="5153A072" w14:textId="77777777" w:rsidR="008F7A0F" w:rsidRPr="00B646C4" w:rsidRDefault="00111B74">
      <w:pPr>
        <w:pStyle w:val="CorpoA"/>
        <w:rPr>
          <w:b/>
          <w:bCs/>
        </w:rPr>
      </w:pPr>
      <w:r w:rsidRPr="00B646C4">
        <w:rPr>
          <w:b/>
          <w:bCs/>
        </w:rPr>
        <w:t>ABSTRACT</w:t>
      </w:r>
    </w:p>
    <w:p w14:paraId="103F13D4" w14:textId="77777777" w:rsidR="008F7A0F" w:rsidRPr="00B646C4" w:rsidRDefault="00111B74">
      <w:pPr>
        <w:pStyle w:val="CorpoA"/>
      </w:pPr>
      <w:r w:rsidRPr="00B646C4">
        <w:t xml:space="preserve">Objective: </w:t>
      </w:r>
      <w:r w:rsidRPr="00B646C4">
        <w:rPr>
          <w:shd w:val="clear" w:color="auto" w:fill="FFFFFF"/>
        </w:rPr>
        <w:t>to analyze the behavior of data referring to psychiatric hospitalizations in Piauí between 2008 and 2020.</w:t>
      </w:r>
    </w:p>
    <w:p w14:paraId="5EE85A65" w14:textId="77777777" w:rsidR="008F7A0F" w:rsidRPr="00B646C4" w:rsidRDefault="00111B74">
      <w:pPr>
        <w:pStyle w:val="CorpoA"/>
      </w:pPr>
      <w:r w:rsidRPr="00B646C4">
        <w:t xml:space="preserve">Method: </w:t>
      </w:r>
      <w:r w:rsidRPr="00B646C4">
        <w:rPr>
          <w:shd w:val="clear" w:color="auto" w:fill="FFFFFF"/>
        </w:rPr>
        <w:t>an ecological study conducted with secondary data referring to psychiatric hospitalizations between 2008 and 2020 in Piauí, obtained from the Hospital Information System</w:t>
      </w:r>
      <w:r w:rsidRPr="00B646C4">
        <w:t>/DATASUS</w:t>
      </w:r>
      <w:r w:rsidRPr="00B646C4">
        <w:rPr>
          <w:shd w:val="clear" w:color="auto" w:fill="FFFFFF"/>
        </w:rPr>
        <w:t>. Descriptive and linear regression analyses were performed.</w:t>
      </w:r>
    </w:p>
    <w:p w14:paraId="12E0BF3E" w14:textId="0FB46027" w:rsidR="008F7A0F" w:rsidRPr="00B646C4" w:rsidRDefault="00111B74">
      <w:pPr>
        <w:pStyle w:val="CorpoA"/>
      </w:pPr>
      <w:bookmarkStart w:id="1" w:name="_headingh.gjdgxs"/>
      <w:bookmarkEnd w:id="1"/>
      <w:r w:rsidRPr="00B646C4">
        <w:t xml:space="preserve">Results: </w:t>
      </w:r>
      <w:r w:rsidRPr="00B646C4">
        <w:rPr>
          <w:shd w:val="clear" w:color="auto" w:fill="FFFFFF"/>
        </w:rPr>
        <w:t xml:space="preserve">a total of 40,608 psychiatric hospitalizations were found. </w:t>
      </w:r>
      <w:r w:rsidRPr="00B646C4">
        <w:t>The main causes were schizophrenia (17,877) and mood disorders (8,239). Mental retardation and schizophrenia presented higher costs and mean hospitalization times. A reduction in the number of hospitalization was recorded from 2009 to 2012 and there was increase between 2016 and 2019, regardless of age and gender. Hospitalizations were more frequent among adults (94.4%) and men (62.4%).</w:t>
      </w:r>
    </w:p>
    <w:p w14:paraId="53156C3D" w14:textId="3BBD29B5" w:rsidR="008F7A0F" w:rsidRPr="00B646C4" w:rsidRDefault="00111B74">
      <w:pPr>
        <w:pStyle w:val="CorpoA"/>
        <w:rPr>
          <w:color w:val="FF0000"/>
          <w:u w:color="FF0000"/>
        </w:rPr>
      </w:pPr>
      <w:r w:rsidRPr="00B646C4">
        <w:t>Conclusion: the reduction in the number of psychiatric hospitalizations in Piauí from 2009 to 2012 coincides with the closing of the state's psychiatric hospital and with the strengthening of the Psychosocial Care Network</w:t>
      </w:r>
      <w:r w:rsidRPr="00B646C4">
        <w:rPr>
          <w:shd w:val="clear" w:color="auto" w:fill="FFFFFF"/>
        </w:rPr>
        <w:t xml:space="preserve">. </w:t>
      </w:r>
      <w:r w:rsidRPr="00B646C4">
        <w:t>The data reflect previous mental health policies and allow planning health strategies.</w:t>
      </w:r>
    </w:p>
    <w:p w14:paraId="77E63B45" w14:textId="77777777" w:rsidR="008F7A0F" w:rsidRPr="00B646C4" w:rsidRDefault="00111B74">
      <w:pPr>
        <w:pStyle w:val="CorpoA"/>
        <w:spacing w:line="240" w:lineRule="auto"/>
        <w:rPr>
          <w:b/>
          <w:bCs/>
        </w:rPr>
      </w:pPr>
      <w:r w:rsidRPr="00B646C4">
        <w:rPr>
          <w:b/>
          <w:bCs/>
        </w:rPr>
        <w:t xml:space="preserve">DESCRIPTORS: </w:t>
      </w:r>
      <w:r w:rsidRPr="00B646C4">
        <w:rPr>
          <w:shd w:val="clear" w:color="auto" w:fill="FFFFFF"/>
        </w:rPr>
        <w:t>Mental Health Care; Mental Disorders; Time Series Studies; Hospitalization; Health Information Systems.</w:t>
      </w:r>
    </w:p>
    <w:p w14:paraId="567CC179" w14:textId="77777777" w:rsidR="008F7A0F" w:rsidRPr="00E77F63" w:rsidRDefault="008F7A0F">
      <w:pPr>
        <w:pStyle w:val="CorpoA"/>
        <w:rPr>
          <w:color w:val="FF0000"/>
          <w:u w:color="FF0000"/>
        </w:rPr>
      </w:pPr>
    </w:p>
    <w:p w14:paraId="3853E61D" w14:textId="6F52776B" w:rsidR="00E77F63" w:rsidRDefault="00E77F63">
      <w:pPr>
        <w:rPr>
          <w:rFonts w:cs="Arial Unicode MS"/>
          <w:b/>
          <w:bCs/>
          <w:color w:val="000000"/>
          <w:u w:color="000000"/>
          <w:lang w:eastAsia="pt-BR"/>
        </w:rPr>
      </w:pPr>
    </w:p>
    <w:p w14:paraId="0B171F18" w14:textId="0E283A5E" w:rsidR="008F7A0F" w:rsidRPr="00B646C4" w:rsidRDefault="00111B74">
      <w:pPr>
        <w:pStyle w:val="CorpoA"/>
        <w:rPr>
          <w:b/>
          <w:bCs/>
        </w:rPr>
      </w:pPr>
      <w:r w:rsidRPr="00B646C4">
        <w:rPr>
          <w:b/>
          <w:bCs/>
        </w:rPr>
        <w:t>INTRODUCTION</w:t>
      </w:r>
    </w:p>
    <w:p w14:paraId="111090EC" w14:textId="77777777" w:rsidR="008F7A0F" w:rsidRPr="00B646C4" w:rsidRDefault="00111B74">
      <w:pPr>
        <w:pStyle w:val="CorpoA"/>
        <w:ind w:firstLine="708"/>
        <w:rPr>
          <w:shd w:val="clear" w:color="auto" w:fill="FFFFFF"/>
        </w:rPr>
      </w:pPr>
      <w:r w:rsidRPr="00B646C4">
        <w:rPr>
          <w:shd w:val="clear" w:color="auto" w:fill="FFFFFF"/>
        </w:rPr>
        <w:t xml:space="preserve">The beginning of the Brazilian Psychiatric Reform process took place in a context of struggle to change the care and management models in health practices, for the defense of </w:t>
      </w:r>
      <w:r w:rsidRPr="00B646C4">
        <w:rPr>
          <w:shd w:val="clear" w:color="auto" w:fill="FFFFFF"/>
        </w:rPr>
        <w:lastRenderedPageBreak/>
        <w:t>collective health, equality in the provision of services and protagonism of workers and users of health services, in the processes of management and production of care technologies. These ideals were mirrored in the Italian model, which mainly advocated deinstitutionalization of users, with a view to overcoming asylum violence and, with this, rescuing citizenship through reintegration into social life, breaking with the current hospital model</w:t>
      </w:r>
      <w:r w:rsidRPr="00B646C4">
        <w:rPr>
          <w:shd w:val="clear" w:color="auto" w:fill="FFFFFF"/>
          <w:vertAlign w:val="superscript"/>
        </w:rPr>
        <w:t>1</w:t>
      </w:r>
      <w:r w:rsidRPr="00B646C4">
        <w:rPr>
          <w:vertAlign w:val="superscript"/>
        </w:rPr>
        <w:t>-2</w:t>
      </w:r>
      <w:r w:rsidRPr="00B646C4">
        <w:rPr>
          <w:shd w:val="clear" w:color="auto" w:fill="FFFFFF"/>
        </w:rPr>
        <w:t>.</w:t>
      </w:r>
    </w:p>
    <w:p w14:paraId="43945FDD" w14:textId="3F1C2840" w:rsidR="008F7A0F" w:rsidRPr="00B646C4" w:rsidRDefault="00111B74">
      <w:pPr>
        <w:pStyle w:val="PadroA"/>
        <w:spacing w:line="480" w:lineRule="auto"/>
        <w:ind w:firstLine="709"/>
        <w:jc w:val="both"/>
        <w:rPr>
          <w:rFonts w:ascii="Times New Roman" w:eastAsia="Times New Roman" w:hAnsi="Times New Roman" w:cs="Times New Roman"/>
          <w:sz w:val="24"/>
          <w:szCs w:val="24"/>
          <w:shd w:val="clear" w:color="auto" w:fill="FFFFFF"/>
        </w:rPr>
      </w:pPr>
      <w:r w:rsidRPr="00B646C4">
        <w:rPr>
          <w:rFonts w:ascii="Times New Roman" w:hAnsi="Times New Roman"/>
          <w:sz w:val="24"/>
          <w:szCs w:val="24"/>
          <w:shd w:val="clear" w:color="auto" w:fill="FFFFFF"/>
        </w:rPr>
        <w:t>Changes in the mental health field are related to strategic regulations, such as the Declaration of Caracas published in 1990, which guides reforms in mental health care in the Americas, as well as to Federal Law No. 10,216/2001, which provides for the protection and rights of people with mental disorders and redirects the mental health care model in Brazil. Ordinance No. 3,088/2011 established the Psychosocial Care Network</w:t>
      </w:r>
      <w:r w:rsidR="00E77F63">
        <w:rPr>
          <w:rFonts w:ascii="Times New Roman" w:hAnsi="Times New Roman"/>
          <w:sz w:val="24"/>
          <w:szCs w:val="24"/>
          <w:shd w:val="clear" w:color="auto" w:fill="FFFFFF"/>
        </w:rPr>
        <w:t xml:space="preserve"> </w:t>
      </w:r>
      <w:r w:rsidRPr="00B646C4">
        <w:rPr>
          <w:rFonts w:ascii="Times New Roman" w:hAnsi="Times New Roman"/>
          <w:sz w:val="24"/>
          <w:szCs w:val="24"/>
          <w:shd w:val="clear" w:color="auto" w:fill="FFFFFF"/>
        </w:rPr>
        <w:t>(</w:t>
      </w:r>
      <w:r w:rsidRPr="00B646C4">
        <w:rPr>
          <w:rFonts w:ascii="Times New Roman" w:hAnsi="Times New Roman"/>
          <w:i/>
          <w:sz w:val="24"/>
          <w:szCs w:val="24"/>
          <w:shd w:val="clear" w:color="auto" w:fill="FFFFFF"/>
        </w:rPr>
        <w:t>Rede de Atenção Psicossocial</w:t>
      </w:r>
      <w:r w:rsidRPr="00B646C4">
        <w:rPr>
          <w:rFonts w:ascii="Times New Roman" w:hAnsi="Times New Roman"/>
          <w:sz w:val="24"/>
          <w:szCs w:val="24"/>
          <w:shd w:val="clear" w:color="auto" w:fill="FFFFFF"/>
        </w:rPr>
        <w:t>, RAPS) for people with mental distress or disorders and needs arising from the use of crack, alcohol and other drugs, within the scope of the Unified Health System (</w:t>
      </w:r>
      <w:r w:rsidRPr="00B646C4">
        <w:rPr>
          <w:rFonts w:ascii="Times New Roman" w:hAnsi="Times New Roman"/>
          <w:i/>
          <w:sz w:val="24"/>
          <w:szCs w:val="24"/>
          <w:shd w:val="clear" w:color="auto" w:fill="FFFFFF"/>
        </w:rPr>
        <w:t>Sistema Único de Saúde</w:t>
      </w:r>
      <w:r w:rsidRPr="00B646C4">
        <w:rPr>
          <w:rFonts w:ascii="Times New Roman" w:hAnsi="Times New Roman"/>
          <w:sz w:val="24"/>
          <w:szCs w:val="24"/>
          <w:shd w:val="clear" w:color="auto" w:fill="FFFFFF"/>
        </w:rPr>
        <w:t>, SUS). It integrates a territorialized network, which covers assistance-related measures from primary to hospital care, in line with Law No. 10,216/2001, encompassing the promotion of contractuality of its users, thus valuing the social reintegration carried out by the multiprofessional team</w:t>
      </w:r>
      <w:r w:rsidRPr="00B646C4">
        <w:rPr>
          <w:rFonts w:ascii="Times New Roman" w:hAnsi="Times New Roman"/>
          <w:sz w:val="24"/>
          <w:szCs w:val="24"/>
          <w:shd w:val="clear" w:color="auto" w:fill="FFFFFF"/>
          <w:vertAlign w:val="superscript"/>
        </w:rPr>
        <w:t>3</w:t>
      </w:r>
      <w:r w:rsidRPr="00B646C4">
        <w:rPr>
          <w:rFonts w:ascii="Times New Roman" w:hAnsi="Times New Roman"/>
          <w:sz w:val="24"/>
          <w:szCs w:val="24"/>
          <w:shd w:val="clear" w:color="auto" w:fill="FFFFFF"/>
        </w:rPr>
        <w:t xml:space="preserve">. </w:t>
      </w:r>
    </w:p>
    <w:p w14:paraId="2E2E689E" w14:textId="43B30631" w:rsidR="008F7A0F" w:rsidRPr="00B646C4" w:rsidRDefault="00111B74">
      <w:pPr>
        <w:pStyle w:val="PadroA"/>
        <w:spacing w:line="480" w:lineRule="auto"/>
        <w:ind w:firstLine="709"/>
        <w:jc w:val="both"/>
        <w:rPr>
          <w:rFonts w:ascii="Times New Roman" w:eastAsia="Times New Roman" w:hAnsi="Times New Roman" w:cs="Times New Roman"/>
          <w:sz w:val="24"/>
          <w:szCs w:val="24"/>
          <w:shd w:val="clear" w:color="auto" w:fill="FFFFFF"/>
        </w:rPr>
      </w:pPr>
      <w:r w:rsidRPr="00B646C4">
        <w:rPr>
          <w:rFonts w:ascii="Times New Roman" w:hAnsi="Times New Roman"/>
          <w:sz w:val="24"/>
          <w:szCs w:val="24"/>
        </w:rPr>
        <w:t>There are several devices for health care and social rights within the RAPS, namely: primary care as gateway, psychosocial care with specialties, Psychosocial Care Centers</w:t>
      </w:r>
      <w:r w:rsidR="00E77F63">
        <w:rPr>
          <w:rFonts w:ascii="Times New Roman" w:hAnsi="Times New Roman"/>
          <w:sz w:val="24"/>
          <w:szCs w:val="24"/>
        </w:rPr>
        <w:t xml:space="preserve"> </w:t>
      </w:r>
      <w:r w:rsidRPr="00B646C4">
        <w:rPr>
          <w:rFonts w:ascii="Times New Roman" w:hAnsi="Times New Roman"/>
          <w:sz w:val="24"/>
          <w:szCs w:val="24"/>
        </w:rPr>
        <w:t>(</w:t>
      </w:r>
      <w:r w:rsidRPr="00B646C4">
        <w:rPr>
          <w:rFonts w:ascii="Times New Roman" w:hAnsi="Times New Roman"/>
          <w:i/>
          <w:sz w:val="24"/>
          <w:szCs w:val="24"/>
        </w:rPr>
        <w:t>Centros de Atenção Psicossocial</w:t>
      </w:r>
      <w:r w:rsidRPr="00B646C4">
        <w:rPr>
          <w:rFonts w:ascii="Times New Roman" w:hAnsi="Times New Roman"/>
          <w:sz w:val="24"/>
          <w:szCs w:val="24"/>
        </w:rPr>
        <w:t>, CAPS) in their most varied subtypes, according to the need for health care to be provided to the users and, finally, hospital care to support crisis situations</w:t>
      </w:r>
      <w:r w:rsidRPr="00B646C4">
        <w:rPr>
          <w:rFonts w:ascii="Times New Roman" w:hAnsi="Times New Roman"/>
          <w:sz w:val="24"/>
          <w:szCs w:val="24"/>
          <w:shd w:val="clear" w:color="auto" w:fill="FFFFFF"/>
          <w:vertAlign w:val="superscript"/>
        </w:rPr>
        <w:t>3</w:t>
      </w:r>
      <w:r w:rsidRPr="00B646C4">
        <w:rPr>
          <w:rFonts w:ascii="Times New Roman" w:hAnsi="Times New Roman"/>
          <w:sz w:val="24"/>
          <w:szCs w:val="24"/>
          <w:vertAlign w:val="superscript"/>
        </w:rPr>
        <w:t>-4</w:t>
      </w:r>
      <w:r w:rsidRPr="00B646C4">
        <w:rPr>
          <w:rFonts w:ascii="Times New Roman" w:hAnsi="Times New Roman"/>
          <w:sz w:val="24"/>
          <w:szCs w:val="24"/>
        </w:rPr>
        <w:t>.</w:t>
      </w:r>
      <w:r w:rsidRPr="00B646C4">
        <w:rPr>
          <w:rFonts w:ascii="Times New Roman" w:hAnsi="Times New Roman"/>
          <w:sz w:val="24"/>
          <w:szCs w:val="24"/>
          <w:shd w:val="clear" w:color="auto" w:fill="FFFFFF"/>
        </w:rPr>
        <w:t xml:space="preserve"> We reiterate the urgent need to include people with mental disorders in the health care network (Basic Health Units - BHUs, Family Health Strategy - FHS, CAPS and other services), to ensure adequate treatment</w:t>
      </w:r>
      <w:r w:rsidRPr="00B646C4">
        <w:rPr>
          <w:rFonts w:ascii="Times New Roman" w:hAnsi="Times New Roman"/>
          <w:sz w:val="24"/>
          <w:szCs w:val="24"/>
          <w:shd w:val="clear" w:color="auto" w:fill="FFFFFF"/>
          <w:vertAlign w:val="superscript"/>
        </w:rPr>
        <w:t>5</w:t>
      </w:r>
      <w:r w:rsidRPr="00B646C4">
        <w:rPr>
          <w:rFonts w:ascii="Times New Roman" w:hAnsi="Times New Roman"/>
          <w:sz w:val="24"/>
          <w:szCs w:val="24"/>
          <w:shd w:val="clear" w:color="auto" w:fill="FFFFFF"/>
        </w:rPr>
        <w:t xml:space="preserve">. </w:t>
      </w:r>
    </w:p>
    <w:p w14:paraId="45704C3E" w14:textId="2EF7C823" w:rsidR="008F7A0F" w:rsidRPr="00B646C4" w:rsidRDefault="00111B74">
      <w:pPr>
        <w:pStyle w:val="PadroA"/>
        <w:spacing w:line="480" w:lineRule="auto"/>
        <w:ind w:firstLine="709"/>
        <w:jc w:val="both"/>
        <w:rPr>
          <w:rFonts w:ascii="Times New Roman" w:eastAsia="Times New Roman" w:hAnsi="Times New Roman" w:cs="Times New Roman"/>
          <w:sz w:val="24"/>
          <w:szCs w:val="24"/>
          <w:shd w:val="clear" w:color="auto" w:fill="FFFFFF"/>
        </w:rPr>
      </w:pPr>
      <w:r w:rsidRPr="00B646C4">
        <w:rPr>
          <w:rFonts w:ascii="Times New Roman" w:hAnsi="Times New Roman"/>
          <w:sz w:val="24"/>
          <w:szCs w:val="24"/>
        </w:rPr>
        <w:lastRenderedPageBreak/>
        <w:t>Mental health care must be essentially community-based, but hospitals play a backup role. That is, mental health services are offered in the usual community contexts close to the population served, with hospital admissions available as a last resort, only when necessary and respecting brevity</w:t>
      </w:r>
      <w:r w:rsidRPr="00B646C4">
        <w:rPr>
          <w:rFonts w:ascii="Times New Roman" w:hAnsi="Times New Roman"/>
          <w:sz w:val="24"/>
          <w:szCs w:val="24"/>
          <w:vertAlign w:val="superscript"/>
        </w:rPr>
        <w:t>6-7</w:t>
      </w:r>
      <w:r w:rsidRPr="00B646C4">
        <w:rPr>
          <w:rFonts w:ascii="Times New Roman" w:hAnsi="Times New Roman"/>
          <w:sz w:val="24"/>
          <w:szCs w:val="24"/>
        </w:rPr>
        <w:t>. It is o</w:t>
      </w:r>
      <w:r w:rsidRPr="00B646C4">
        <w:rPr>
          <w:rFonts w:ascii="Times New Roman" w:hAnsi="Times New Roman"/>
          <w:sz w:val="24"/>
          <w:szCs w:val="24"/>
          <w:shd w:val="clear" w:color="auto" w:fill="FFFFFF"/>
        </w:rPr>
        <w:t>nly when out-of-hospital resources are exhausted and the legal requirements for hospitalization are met that health managers must act in order to guarantee the hospitalization of all those who need it</w:t>
      </w:r>
      <w:r w:rsidRPr="00B646C4">
        <w:rPr>
          <w:rFonts w:ascii="Times New Roman" w:hAnsi="Times New Roman"/>
          <w:sz w:val="24"/>
          <w:szCs w:val="24"/>
          <w:shd w:val="clear" w:color="auto" w:fill="FFFFFF"/>
          <w:vertAlign w:val="superscript"/>
        </w:rPr>
        <w:t>5</w:t>
      </w:r>
      <w:r w:rsidRPr="00B646C4">
        <w:rPr>
          <w:rFonts w:ascii="Times New Roman" w:hAnsi="Times New Roman"/>
          <w:sz w:val="24"/>
          <w:szCs w:val="24"/>
          <w:shd w:val="clear" w:color="auto" w:fill="FFFFFF"/>
        </w:rPr>
        <w:t xml:space="preserve">. </w:t>
      </w:r>
    </w:p>
    <w:p w14:paraId="0029AE02" w14:textId="77777777" w:rsidR="008F7A0F" w:rsidRPr="00B646C4" w:rsidRDefault="00111B74">
      <w:pPr>
        <w:pStyle w:val="PadroA"/>
        <w:spacing w:line="480" w:lineRule="auto"/>
        <w:ind w:firstLine="709"/>
        <w:jc w:val="both"/>
        <w:rPr>
          <w:rFonts w:ascii="Times New Roman" w:eastAsia="Times New Roman" w:hAnsi="Times New Roman" w:cs="Times New Roman"/>
          <w:color w:val="FF0000"/>
          <w:sz w:val="24"/>
          <w:szCs w:val="24"/>
          <w:u w:color="FF0000"/>
          <w:shd w:val="clear" w:color="auto" w:fill="FFFFFF"/>
        </w:rPr>
      </w:pPr>
      <w:r w:rsidRPr="00B646C4">
        <w:rPr>
          <w:rFonts w:ascii="Times New Roman" w:hAnsi="Times New Roman"/>
          <w:sz w:val="24"/>
          <w:szCs w:val="24"/>
          <w:shd w:val="clear" w:color="auto" w:fill="FFFFFF"/>
        </w:rPr>
        <w:t>Although scarce, in Brazil the studies that analyze data referring to psychiatric hospitalizations address states from the Southeast and South regions. Thus, it is important to investigate and characterize how these admissions to the psychiatric hospital component and/or general hospitals have been taking place in terms of beds for psychiatric care. The relevance of the study consists in knowing the current state of the RAPS in Piauí, particularly the hospital component, through an analysis of the data referring to psychiatric hospitalizations. The objective of this study was to analyze the behavior of data referring to psychiatric hospitalizations in Piauí between 2008 and 2020.</w:t>
      </w:r>
    </w:p>
    <w:p w14:paraId="5A054124" w14:textId="77777777" w:rsidR="008F7A0F" w:rsidRPr="00E77F63" w:rsidRDefault="008F7A0F">
      <w:pPr>
        <w:pStyle w:val="CorpoA"/>
        <w:rPr>
          <w:shd w:val="clear" w:color="auto" w:fill="FFFFFF"/>
        </w:rPr>
      </w:pPr>
    </w:p>
    <w:p w14:paraId="16A0E7AF" w14:textId="77777777" w:rsidR="008F7A0F" w:rsidRPr="00B646C4" w:rsidRDefault="00111B74">
      <w:pPr>
        <w:pStyle w:val="CorpoA"/>
        <w:rPr>
          <w:b/>
          <w:bCs/>
          <w:color w:val="FF0000"/>
          <w:u w:color="FF0000"/>
        </w:rPr>
      </w:pPr>
      <w:r w:rsidRPr="00B646C4">
        <w:rPr>
          <w:b/>
          <w:bCs/>
        </w:rPr>
        <w:t>METHOD</w:t>
      </w:r>
    </w:p>
    <w:p w14:paraId="35E4F220" w14:textId="77777777" w:rsidR="008F7A0F" w:rsidRPr="00B646C4" w:rsidRDefault="00111B74">
      <w:pPr>
        <w:pStyle w:val="CorpoA"/>
        <w:ind w:firstLine="708"/>
        <w:rPr>
          <w:shd w:val="clear" w:color="auto" w:fill="FFFFFF"/>
        </w:rPr>
      </w:pPr>
      <w:r w:rsidRPr="00B646C4">
        <w:rPr>
          <w:shd w:val="clear" w:color="auto" w:fill="FFFFFF"/>
        </w:rPr>
        <w:t xml:space="preserve">An ecological, retrospective and time-based study of health data. Data collection was carried out in May 2021, considering all hospitalizations with the aforementioned object, recorded on the virtual website of the SUS Informatics Department (DATASUS). </w:t>
      </w:r>
    </w:p>
    <w:p w14:paraId="2B298F64" w14:textId="36008C11" w:rsidR="008F7A0F" w:rsidRPr="00B646C4" w:rsidRDefault="00111B74">
      <w:pPr>
        <w:pStyle w:val="PadroA"/>
        <w:spacing w:line="480" w:lineRule="auto"/>
        <w:ind w:firstLine="709"/>
        <w:jc w:val="both"/>
        <w:rPr>
          <w:rFonts w:ascii="Times New Roman" w:eastAsia="Times New Roman" w:hAnsi="Times New Roman" w:cs="Times New Roman"/>
          <w:sz w:val="24"/>
          <w:szCs w:val="24"/>
          <w:shd w:val="clear" w:color="auto" w:fill="FFFFFF"/>
        </w:rPr>
      </w:pPr>
      <w:r w:rsidRPr="00B646C4">
        <w:rPr>
          <w:rFonts w:ascii="Times New Roman" w:hAnsi="Times New Roman"/>
          <w:sz w:val="24"/>
          <w:szCs w:val="24"/>
          <w:shd w:val="clear" w:color="auto" w:fill="FFFFFF"/>
        </w:rPr>
        <w:t>The health information was accessed through TABNET, choosing the option referring to the epidemiological and morbidity data. Among the group of options referring to the SUS information systems, hospital morbidity data were surveyed, made available through the Hospital Information System (</w:t>
      </w:r>
      <w:r w:rsidRPr="00B646C4">
        <w:rPr>
          <w:rFonts w:ascii="Times New Roman" w:hAnsi="Times New Roman"/>
          <w:i/>
          <w:sz w:val="24"/>
          <w:szCs w:val="24"/>
          <w:shd w:val="clear" w:color="auto" w:fill="FFFFFF"/>
        </w:rPr>
        <w:t>Sistema de Informações Hospitalares</w:t>
      </w:r>
      <w:r w:rsidRPr="00B646C4">
        <w:rPr>
          <w:rFonts w:ascii="Times New Roman" w:hAnsi="Times New Roman"/>
          <w:sz w:val="24"/>
          <w:szCs w:val="24"/>
          <w:shd w:val="clear" w:color="auto" w:fill="FFFFFF"/>
        </w:rPr>
        <w:t xml:space="preserve">, SIH/SUS) and based on </w:t>
      </w:r>
      <w:r w:rsidRPr="00B646C4">
        <w:rPr>
          <w:rFonts w:ascii="Times New Roman" w:hAnsi="Times New Roman"/>
          <w:sz w:val="24"/>
          <w:szCs w:val="24"/>
          <w:shd w:val="clear" w:color="auto" w:fill="FFFFFF"/>
        </w:rPr>
        <w:lastRenderedPageBreak/>
        <w:t xml:space="preserve">general hospital morbidity by place of residence (choosing Piauí as geographic area). This option provides more recent data, from 2008 onwards, which was the reason to choose the historical series comprised by 13 full years. </w:t>
      </w:r>
    </w:p>
    <w:p w14:paraId="746EBA07" w14:textId="494FB1B3" w:rsidR="008F7A0F" w:rsidRPr="00B646C4" w:rsidRDefault="00111B74">
      <w:pPr>
        <w:pStyle w:val="PadroA"/>
        <w:spacing w:line="480" w:lineRule="auto"/>
        <w:ind w:firstLine="709"/>
        <w:jc w:val="both"/>
        <w:rPr>
          <w:rFonts w:ascii="Times New Roman" w:eastAsia="Times New Roman" w:hAnsi="Times New Roman" w:cs="Times New Roman"/>
          <w:sz w:val="24"/>
          <w:szCs w:val="24"/>
          <w:shd w:val="clear" w:color="auto" w:fill="FFFFFF"/>
        </w:rPr>
      </w:pPr>
      <w:r w:rsidRPr="00B646C4">
        <w:rPr>
          <w:rFonts w:ascii="Times New Roman" w:hAnsi="Times New Roman"/>
          <w:sz w:val="24"/>
          <w:szCs w:val="24"/>
          <w:shd w:val="clear" w:color="auto" w:fill="FFFFFF"/>
        </w:rPr>
        <w:t xml:space="preserve">The content of the tables generated for this research, on the virtual site, corresponded to the hospitalizations; all available periods of years already finished were chosen, at the time the data were collected (from January 2008 to December 2020). In the set of available selections, it was chosen to work with chapter V of ICD-10 (mental and behavioral disorders) and the list of morbidities from ICD-10 as follows: dementia, mental and behavioral disorders due to alcohol use, mental disorders and behavioral disorders due to the use of other psychoactive substances, schizophrenia and schizotypal and delusional disorders, mood (affective) disorders, neurotic and stress-related and somatoform disorders, mental retardation, and other mental and behavioral disorders. These morbidities were grouped in order to turn them into the main study variable. </w:t>
      </w:r>
    </w:p>
    <w:p w14:paraId="56E3A26A" w14:textId="7330F517" w:rsidR="008F7A0F" w:rsidRPr="00B646C4" w:rsidRDefault="00111B74">
      <w:pPr>
        <w:pStyle w:val="PadroA"/>
        <w:spacing w:line="480" w:lineRule="auto"/>
        <w:ind w:firstLine="709"/>
        <w:jc w:val="both"/>
        <w:rPr>
          <w:rFonts w:ascii="Times New Roman" w:eastAsia="Times New Roman" w:hAnsi="Times New Roman" w:cs="Times New Roman"/>
          <w:sz w:val="24"/>
          <w:szCs w:val="24"/>
          <w:shd w:val="clear" w:color="auto" w:fill="FFFFFF"/>
        </w:rPr>
      </w:pPr>
      <w:r w:rsidRPr="00B646C4">
        <w:rPr>
          <w:rFonts w:ascii="Times New Roman" w:hAnsi="Times New Roman"/>
          <w:sz w:val="24"/>
          <w:szCs w:val="24"/>
          <w:shd w:val="clear" w:color="auto" w:fill="FFFFFF"/>
        </w:rPr>
        <w:t>Other variables considered were as follows: municipalities of Piauí, mean hospitalization time, mean hospitalization cost, age group (from 10 to 19 years old, from 20 to 59 years old, and 60 years old or more) and gender. Table-based analys</w:t>
      </w:r>
      <w:r w:rsidR="00E77F63">
        <w:rPr>
          <w:rFonts w:ascii="Times New Roman" w:hAnsi="Times New Roman"/>
          <w:sz w:val="24"/>
          <w:szCs w:val="24"/>
          <w:shd w:val="clear" w:color="auto" w:fill="FFFFFF"/>
        </w:rPr>
        <w:t>e</w:t>
      </w:r>
      <w:r w:rsidRPr="00B646C4">
        <w:rPr>
          <w:rFonts w:ascii="Times New Roman" w:hAnsi="Times New Roman"/>
          <w:sz w:val="24"/>
          <w:szCs w:val="24"/>
          <w:shd w:val="clear" w:color="auto" w:fill="FFFFFF"/>
        </w:rPr>
        <w:t xml:space="preserve">s were performed, with absolute data grouped in </w:t>
      </w:r>
      <w:r w:rsidRPr="00B646C4">
        <w:rPr>
          <w:rFonts w:ascii="Times New Roman" w:hAnsi="Times New Roman"/>
          <w:i/>
          <w:iCs/>
          <w:sz w:val="24"/>
          <w:szCs w:val="24"/>
          <w:shd w:val="clear" w:color="auto" w:fill="FFFFFF"/>
        </w:rPr>
        <w:t>SPSS Statistics 24</w:t>
      </w:r>
      <w:r w:rsidRPr="00B646C4">
        <w:rPr>
          <w:rFonts w:ascii="Times New Roman" w:hAnsi="Times New Roman"/>
          <w:sz w:val="24"/>
          <w:szCs w:val="24"/>
          <w:shd w:val="clear" w:color="auto" w:fill="FFFFFF"/>
        </w:rPr>
        <w:t>, with conduction of a descriptive and inferential analysis. Linear regression was employed in the analysis of the number of hospitalizations by year and by cause, with calculation of the coefficient of determination (R</w:t>
      </w:r>
      <w:r w:rsidRPr="00B646C4">
        <w:rPr>
          <w:rFonts w:ascii="Times New Roman" w:hAnsi="Times New Roman"/>
          <w:sz w:val="24"/>
          <w:szCs w:val="24"/>
          <w:shd w:val="clear" w:color="auto" w:fill="FFFFFF"/>
          <w:vertAlign w:val="superscript"/>
        </w:rPr>
        <w:t>2</w:t>
      </w:r>
      <w:r w:rsidRPr="00B646C4">
        <w:rPr>
          <w:rFonts w:ascii="Times New Roman" w:hAnsi="Times New Roman"/>
          <w:sz w:val="24"/>
          <w:szCs w:val="24"/>
          <w:shd w:val="clear" w:color="auto" w:fill="FFFFFF"/>
        </w:rPr>
        <w:t>).</w:t>
      </w:r>
    </w:p>
    <w:p w14:paraId="75DAB0B8" w14:textId="57D0C2EB" w:rsidR="008F7A0F" w:rsidRPr="00B646C4" w:rsidRDefault="00111B74">
      <w:pPr>
        <w:pStyle w:val="CorpoA"/>
        <w:ind w:firstLine="708"/>
        <w:rPr>
          <w:shd w:val="clear" w:color="auto" w:fill="FFFFFF"/>
        </w:rPr>
      </w:pPr>
      <w:r w:rsidRPr="00B646C4">
        <w:rPr>
          <w:shd w:val="clear" w:color="auto" w:fill="FFFFFF"/>
        </w:rPr>
        <w:t xml:space="preserve">This research was carried out with secondary epidemiological data in the public domain and available online, for analysis and assessment of the health of the population of a Federative Unit in the Brazilian Northeast region. Consequently, evaluation by a Research </w:t>
      </w:r>
      <w:r w:rsidRPr="00B646C4">
        <w:rPr>
          <w:shd w:val="clear" w:color="auto" w:fill="FFFFFF"/>
        </w:rPr>
        <w:lastRenderedPageBreak/>
        <w:t>Ethics Committee is waived, as described in Resolution No. 510/2016 of the National Health Council.</w:t>
      </w:r>
    </w:p>
    <w:p w14:paraId="61BA787B" w14:textId="77777777" w:rsidR="008F7A0F" w:rsidRPr="00E77F63" w:rsidRDefault="008F7A0F">
      <w:pPr>
        <w:pStyle w:val="PadroA"/>
        <w:spacing w:line="480" w:lineRule="auto"/>
        <w:ind w:firstLine="709"/>
        <w:jc w:val="both"/>
        <w:rPr>
          <w:rFonts w:ascii="Times New Roman" w:eastAsia="Times New Roman" w:hAnsi="Times New Roman" w:cs="Times New Roman"/>
          <w:sz w:val="24"/>
          <w:szCs w:val="24"/>
        </w:rPr>
      </w:pPr>
    </w:p>
    <w:p w14:paraId="49ACE76A" w14:textId="77777777" w:rsidR="008F7A0F" w:rsidRPr="00B646C4" w:rsidRDefault="00111B74">
      <w:pPr>
        <w:pStyle w:val="Ttulo"/>
        <w:spacing w:before="0"/>
      </w:pPr>
      <w:r w:rsidRPr="00B646C4">
        <w:t>RESULTS</w:t>
      </w:r>
    </w:p>
    <w:p w14:paraId="0936BA75" w14:textId="77777777"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shd w:val="clear" w:color="auto" w:fill="FFFFFF"/>
        </w:rPr>
        <w:t xml:space="preserve">A total of 40,608 hospitalizations related to mental/behavioral disorders were found. Of these, 12,285 (30.2%) correspond to those recorded in the municipality of Teresina, followed by 8,595 (21.1%) in Parnaíba and 1,401 (3.4%) in Picos. </w:t>
      </w:r>
    </w:p>
    <w:p w14:paraId="139BD207" w14:textId="3E51150D"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 xml:space="preserve">Greater allocation of financial resources for hospitalization occurred in the cases of users from Picos and Teresina (R$ 1,380.45 and R$ 1,408.89 respectively), followed by Parnaíba (R$ 804.97). The same pattern occurs in relation to the mean hospitalization time: for Picos </w:t>
      </w:r>
      <w:r w:rsidR="00E77F63" w:rsidRPr="00B646C4">
        <w:rPr>
          <w:rFonts w:ascii="Times New Roman" w:hAnsi="Times New Roman"/>
          <w:sz w:val="24"/>
          <w:szCs w:val="24"/>
        </w:rPr>
        <w:t>residents,</w:t>
      </w:r>
      <w:r w:rsidRPr="00B646C4">
        <w:rPr>
          <w:rFonts w:ascii="Times New Roman" w:hAnsi="Times New Roman"/>
          <w:sz w:val="24"/>
          <w:szCs w:val="24"/>
        </w:rPr>
        <w:t xml:space="preserve"> it was 40.4 days; in the capital it was 28.0 days and, in Parnaíba, it was 25.6 days. </w:t>
      </w:r>
    </w:p>
    <w:p w14:paraId="5BD520DF" w14:textId="77777777"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 xml:space="preserve">There was a marked reduction in the number of psychiatric hospitalizations in Piauí from 2009 to 2012. In the entire time series, the main reason for psychiatric hospitalizations was schizophrenia (17,877 cases), followed by 8,239 hospitalizations due to mood disorders (Table 1). </w:t>
      </w:r>
    </w:p>
    <w:p w14:paraId="3E1DC3FC" w14:textId="49BC30D1" w:rsidR="00E77F63" w:rsidRDefault="00E77F63">
      <w:pPr>
        <w:rPr>
          <w:rFonts w:cs="Arial Unicode MS"/>
          <w:color w:val="000000"/>
          <w:u w:color="000000"/>
          <w:lang w:eastAsia="pt-BR"/>
        </w:rPr>
      </w:pPr>
    </w:p>
    <w:p w14:paraId="2D1E4474" w14:textId="4601621D" w:rsidR="008F7A0F" w:rsidRPr="00B646C4" w:rsidRDefault="00111B74">
      <w:pPr>
        <w:pStyle w:val="PadroA"/>
        <w:jc w:val="both"/>
        <w:rPr>
          <w:rFonts w:ascii="Times New Roman" w:eastAsia="Times New Roman" w:hAnsi="Times New Roman" w:cs="Times New Roman"/>
          <w:sz w:val="24"/>
          <w:szCs w:val="24"/>
        </w:rPr>
      </w:pPr>
      <w:r w:rsidRPr="00B646C4">
        <w:rPr>
          <w:rFonts w:ascii="Times New Roman" w:hAnsi="Times New Roman"/>
          <w:sz w:val="24"/>
          <w:szCs w:val="24"/>
        </w:rPr>
        <w:t>Table 1 - Number of hospitalizations due to mental/behavioral disorders by year of the time series. Piauí, PI, Brazil, 2008 - 2020</w:t>
      </w:r>
    </w:p>
    <w:tbl>
      <w:tblPr>
        <w:tblStyle w:val="TableNormal"/>
        <w:tblW w:w="913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2"/>
        <w:gridCol w:w="484"/>
        <w:gridCol w:w="484"/>
        <w:gridCol w:w="483"/>
        <w:gridCol w:w="482"/>
        <w:gridCol w:w="482"/>
        <w:gridCol w:w="482"/>
        <w:gridCol w:w="481"/>
        <w:gridCol w:w="482"/>
        <w:gridCol w:w="482"/>
        <w:gridCol w:w="482"/>
        <w:gridCol w:w="482"/>
        <w:gridCol w:w="482"/>
        <w:gridCol w:w="480"/>
        <w:gridCol w:w="482"/>
        <w:gridCol w:w="552"/>
      </w:tblGrid>
      <w:tr w:rsidR="008F7A0F" w:rsidRPr="00B646C4" w14:paraId="16212496" w14:textId="77777777" w:rsidTr="00091263">
        <w:trPr>
          <w:trHeight w:val="752"/>
          <w:jc w:val="right"/>
        </w:trPr>
        <w:tc>
          <w:tcPr>
            <w:tcW w:w="1832" w:type="dxa"/>
            <w:tcBorders>
              <w:top w:val="single" w:sz="2"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7D34E38A" w14:textId="77777777" w:rsidR="008F7A0F" w:rsidRPr="00B646C4" w:rsidRDefault="00111B74">
            <w:pPr>
              <w:pStyle w:val="EstilodeTabela2A"/>
            </w:pPr>
            <w:r w:rsidRPr="00B646C4">
              <w:rPr>
                <w:rFonts w:ascii="Times New Roman" w:hAnsi="Times New Roman"/>
                <w:b/>
                <w:bCs/>
              </w:rPr>
              <w:t>Mental/Behavioral disorders</w:t>
            </w:r>
          </w:p>
        </w:tc>
        <w:tc>
          <w:tcPr>
            <w:tcW w:w="484" w:type="dxa"/>
            <w:tcBorders>
              <w:top w:val="single" w:sz="8" w:space="0" w:color="000000"/>
              <w:left w:val="single" w:sz="2"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710A1752" w14:textId="77777777" w:rsidR="008F7A0F" w:rsidRPr="00B646C4" w:rsidRDefault="00111B74" w:rsidP="00091263">
            <w:pPr>
              <w:pStyle w:val="EstilodeTabela2A"/>
              <w:ind w:left="-85" w:right="-85"/>
              <w:jc w:val="center"/>
            </w:pPr>
            <w:r w:rsidRPr="00B646C4">
              <w:rPr>
                <w:rFonts w:ascii="Times New Roman" w:hAnsi="Times New Roman"/>
                <w:b/>
                <w:bCs/>
              </w:rPr>
              <w:t>2008</w:t>
            </w:r>
          </w:p>
        </w:tc>
        <w:tc>
          <w:tcPr>
            <w:tcW w:w="484"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2B2D9E19" w14:textId="77777777" w:rsidR="008F7A0F" w:rsidRPr="00B646C4" w:rsidRDefault="00111B74" w:rsidP="00091263">
            <w:pPr>
              <w:pStyle w:val="EstilodeTabela2A"/>
              <w:ind w:left="-85" w:right="-85"/>
              <w:jc w:val="center"/>
            </w:pPr>
            <w:r w:rsidRPr="00B646C4">
              <w:rPr>
                <w:rFonts w:ascii="Times New Roman" w:hAnsi="Times New Roman"/>
                <w:b/>
                <w:bCs/>
              </w:rPr>
              <w:t>2009</w:t>
            </w:r>
          </w:p>
        </w:tc>
        <w:tc>
          <w:tcPr>
            <w:tcW w:w="483"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101701EC" w14:textId="77777777" w:rsidR="008F7A0F" w:rsidRPr="00B646C4" w:rsidRDefault="00111B74" w:rsidP="00091263">
            <w:pPr>
              <w:pStyle w:val="EstilodeTabela2A"/>
              <w:ind w:left="-85" w:right="-85"/>
              <w:jc w:val="center"/>
            </w:pPr>
            <w:r w:rsidRPr="00B646C4">
              <w:rPr>
                <w:rFonts w:ascii="Times New Roman" w:hAnsi="Times New Roman"/>
                <w:b/>
                <w:bCs/>
              </w:rPr>
              <w:t>2010</w:t>
            </w:r>
          </w:p>
        </w:tc>
        <w:tc>
          <w:tcPr>
            <w:tcW w:w="482"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5DB1703B" w14:textId="77777777" w:rsidR="008F7A0F" w:rsidRPr="00B646C4" w:rsidRDefault="00111B74" w:rsidP="00091263">
            <w:pPr>
              <w:pStyle w:val="EstilodeTabela2A"/>
              <w:ind w:left="-85" w:right="-85"/>
              <w:jc w:val="center"/>
            </w:pPr>
            <w:r w:rsidRPr="00B646C4">
              <w:rPr>
                <w:rFonts w:ascii="Times New Roman" w:hAnsi="Times New Roman"/>
                <w:b/>
                <w:bCs/>
              </w:rPr>
              <w:t>2011</w:t>
            </w:r>
          </w:p>
        </w:tc>
        <w:tc>
          <w:tcPr>
            <w:tcW w:w="482"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7B2B7BCB" w14:textId="77777777" w:rsidR="008F7A0F" w:rsidRPr="00B646C4" w:rsidRDefault="00111B74" w:rsidP="00091263">
            <w:pPr>
              <w:pStyle w:val="EstilodeTabela2A"/>
              <w:ind w:left="-85" w:right="-85"/>
              <w:jc w:val="center"/>
            </w:pPr>
            <w:r w:rsidRPr="00B646C4">
              <w:rPr>
                <w:rFonts w:ascii="Times New Roman" w:hAnsi="Times New Roman"/>
                <w:b/>
                <w:bCs/>
              </w:rPr>
              <w:t>2012</w:t>
            </w:r>
          </w:p>
        </w:tc>
        <w:tc>
          <w:tcPr>
            <w:tcW w:w="482"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4E391E52" w14:textId="77777777" w:rsidR="008F7A0F" w:rsidRPr="00B646C4" w:rsidRDefault="00111B74" w:rsidP="00091263">
            <w:pPr>
              <w:pStyle w:val="EstilodeTabela2A"/>
              <w:ind w:left="-85" w:right="-85"/>
              <w:jc w:val="center"/>
            </w:pPr>
            <w:r w:rsidRPr="00B646C4">
              <w:rPr>
                <w:rFonts w:ascii="Times New Roman" w:hAnsi="Times New Roman"/>
                <w:b/>
                <w:bCs/>
              </w:rPr>
              <w:t>2013</w:t>
            </w:r>
          </w:p>
        </w:tc>
        <w:tc>
          <w:tcPr>
            <w:tcW w:w="481"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004D0822" w14:textId="77777777" w:rsidR="008F7A0F" w:rsidRPr="00B646C4" w:rsidRDefault="00111B74" w:rsidP="00091263">
            <w:pPr>
              <w:pStyle w:val="EstilodeTabela2A"/>
              <w:ind w:left="-85" w:right="-85"/>
              <w:jc w:val="center"/>
            </w:pPr>
            <w:r w:rsidRPr="00B646C4">
              <w:rPr>
                <w:rFonts w:ascii="Times New Roman" w:hAnsi="Times New Roman"/>
                <w:b/>
                <w:bCs/>
              </w:rPr>
              <w:t>2014</w:t>
            </w:r>
          </w:p>
        </w:tc>
        <w:tc>
          <w:tcPr>
            <w:tcW w:w="482"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263DB9C0" w14:textId="77777777" w:rsidR="008F7A0F" w:rsidRPr="00B646C4" w:rsidRDefault="00111B74" w:rsidP="00091263">
            <w:pPr>
              <w:pStyle w:val="EstilodeTabela2A"/>
              <w:ind w:left="-85" w:right="-85"/>
              <w:jc w:val="center"/>
            </w:pPr>
            <w:r w:rsidRPr="00B646C4">
              <w:rPr>
                <w:rFonts w:ascii="Times New Roman" w:hAnsi="Times New Roman"/>
                <w:b/>
                <w:bCs/>
              </w:rPr>
              <w:t>2015</w:t>
            </w:r>
          </w:p>
        </w:tc>
        <w:tc>
          <w:tcPr>
            <w:tcW w:w="482"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290BB379" w14:textId="77777777" w:rsidR="008F7A0F" w:rsidRPr="00B646C4" w:rsidRDefault="00111B74" w:rsidP="00091263">
            <w:pPr>
              <w:pStyle w:val="EstilodeTabela2A"/>
              <w:ind w:left="-85" w:right="-85"/>
              <w:jc w:val="center"/>
            </w:pPr>
            <w:r w:rsidRPr="00B646C4">
              <w:rPr>
                <w:rFonts w:ascii="Times New Roman" w:hAnsi="Times New Roman"/>
                <w:b/>
                <w:bCs/>
              </w:rPr>
              <w:t>2016</w:t>
            </w:r>
          </w:p>
        </w:tc>
        <w:tc>
          <w:tcPr>
            <w:tcW w:w="482"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40F0FE13" w14:textId="77777777" w:rsidR="008F7A0F" w:rsidRPr="00B646C4" w:rsidRDefault="00111B74" w:rsidP="00091263">
            <w:pPr>
              <w:pStyle w:val="EstilodeTabela2A"/>
              <w:ind w:left="-85" w:right="-85"/>
              <w:jc w:val="center"/>
            </w:pPr>
            <w:r w:rsidRPr="00B646C4">
              <w:rPr>
                <w:rFonts w:ascii="Times New Roman" w:hAnsi="Times New Roman"/>
                <w:b/>
                <w:bCs/>
              </w:rPr>
              <w:t>2017</w:t>
            </w:r>
          </w:p>
        </w:tc>
        <w:tc>
          <w:tcPr>
            <w:tcW w:w="482"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785005ED" w14:textId="77777777" w:rsidR="008F7A0F" w:rsidRPr="00B646C4" w:rsidRDefault="00111B74" w:rsidP="00091263">
            <w:pPr>
              <w:pStyle w:val="EstilodeTabela2A"/>
              <w:ind w:left="-85" w:right="-85"/>
              <w:jc w:val="center"/>
            </w:pPr>
            <w:r w:rsidRPr="00B646C4">
              <w:rPr>
                <w:rFonts w:ascii="Times New Roman" w:hAnsi="Times New Roman"/>
                <w:b/>
                <w:bCs/>
              </w:rPr>
              <w:t>2018</w:t>
            </w:r>
          </w:p>
        </w:tc>
        <w:tc>
          <w:tcPr>
            <w:tcW w:w="482"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31004BEF" w14:textId="77777777" w:rsidR="008F7A0F" w:rsidRPr="00B646C4" w:rsidRDefault="00111B74" w:rsidP="00091263">
            <w:pPr>
              <w:pStyle w:val="EstilodeTabela2A"/>
              <w:ind w:left="-85" w:right="-85"/>
              <w:jc w:val="center"/>
            </w:pPr>
            <w:r w:rsidRPr="00B646C4">
              <w:rPr>
                <w:rFonts w:ascii="Times New Roman" w:hAnsi="Times New Roman"/>
                <w:b/>
                <w:bCs/>
              </w:rPr>
              <w:t>2019</w:t>
            </w:r>
          </w:p>
        </w:tc>
        <w:tc>
          <w:tcPr>
            <w:tcW w:w="480"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736DECF5" w14:textId="77777777" w:rsidR="008F7A0F" w:rsidRPr="00B646C4" w:rsidRDefault="00111B74" w:rsidP="00091263">
            <w:pPr>
              <w:pStyle w:val="EstilodeTabela2A"/>
              <w:ind w:left="-85" w:right="-85"/>
              <w:jc w:val="center"/>
            </w:pPr>
            <w:r w:rsidRPr="00B646C4">
              <w:rPr>
                <w:rFonts w:ascii="Times New Roman" w:hAnsi="Times New Roman"/>
                <w:b/>
                <w:bCs/>
              </w:rPr>
              <w:t>2020</w:t>
            </w:r>
          </w:p>
        </w:tc>
        <w:tc>
          <w:tcPr>
            <w:tcW w:w="482"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5B286ABD" w14:textId="77777777" w:rsidR="008F7A0F" w:rsidRPr="00B646C4" w:rsidRDefault="00111B74" w:rsidP="00091263">
            <w:pPr>
              <w:pStyle w:val="EstilodeTabela2A"/>
              <w:ind w:left="-85" w:right="-85"/>
              <w:jc w:val="center"/>
            </w:pPr>
            <w:r w:rsidRPr="00B646C4">
              <w:rPr>
                <w:rFonts w:ascii="Times New Roman" w:hAnsi="Times New Roman"/>
                <w:b/>
                <w:bCs/>
              </w:rPr>
              <w:t>R</w:t>
            </w:r>
            <w:r w:rsidRPr="00B646C4">
              <w:rPr>
                <w:rFonts w:ascii="Times New Roman" w:hAnsi="Times New Roman"/>
                <w:b/>
                <w:bCs/>
                <w:vertAlign w:val="superscript"/>
              </w:rPr>
              <w:t>2</w:t>
            </w:r>
          </w:p>
        </w:tc>
        <w:tc>
          <w:tcPr>
            <w:tcW w:w="552" w:type="dxa"/>
            <w:tcBorders>
              <w:top w:val="single" w:sz="8" w:space="0" w:color="000000"/>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3893B8B1" w14:textId="77777777" w:rsidR="008F7A0F" w:rsidRPr="00B646C4" w:rsidRDefault="00111B74" w:rsidP="00091263">
            <w:pPr>
              <w:pStyle w:val="EstilodeTabela2A"/>
              <w:ind w:left="-113" w:right="-113"/>
              <w:jc w:val="center"/>
            </w:pPr>
            <w:r w:rsidRPr="00B646C4">
              <w:rPr>
                <w:rFonts w:ascii="Times New Roman" w:hAnsi="Times New Roman"/>
                <w:b/>
                <w:bCs/>
              </w:rPr>
              <w:t>p-value*</w:t>
            </w:r>
          </w:p>
        </w:tc>
      </w:tr>
      <w:tr w:rsidR="008F7A0F" w:rsidRPr="00B646C4" w14:paraId="49704BB9" w14:textId="77777777" w:rsidTr="00091263">
        <w:trPr>
          <w:trHeight w:val="512"/>
          <w:jc w:val="right"/>
        </w:trPr>
        <w:tc>
          <w:tcPr>
            <w:tcW w:w="1832" w:type="dxa"/>
            <w:tcBorders>
              <w:top w:val="single" w:sz="2"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0855082" w14:textId="77777777" w:rsidR="008F7A0F" w:rsidRPr="00B646C4" w:rsidRDefault="00111B74">
            <w:pPr>
              <w:pStyle w:val="EstilodeTabela2A"/>
            </w:pPr>
            <w:r w:rsidRPr="00B646C4">
              <w:rPr>
                <w:rFonts w:ascii="Times New Roman" w:hAnsi="Times New Roman"/>
              </w:rPr>
              <w:t>Dementia</w:t>
            </w:r>
          </w:p>
        </w:tc>
        <w:tc>
          <w:tcPr>
            <w:tcW w:w="484"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56E3FAD"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47</w:t>
            </w:r>
          </w:p>
        </w:tc>
        <w:tc>
          <w:tcPr>
            <w:tcW w:w="484"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18DAF61"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56</w:t>
            </w:r>
          </w:p>
        </w:tc>
        <w:tc>
          <w:tcPr>
            <w:tcW w:w="483"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438E0CC8"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20</w:t>
            </w:r>
          </w:p>
        </w:tc>
        <w:tc>
          <w:tcPr>
            <w:tcW w:w="482"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B8D27C1"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22</w:t>
            </w:r>
          </w:p>
        </w:tc>
        <w:tc>
          <w:tcPr>
            <w:tcW w:w="482"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13ADB73"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23</w:t>
            </w:r>
          </w:p>
        </w:tc>
        <w:tc>
          <w:tcPr>
            <w:tcW w:w="482"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A01976E"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27</w:t>
            </w:r>
          </w:p>
        </w:tc>
        <w:tc>
          <w:tcPr>
            <w:tcW w:w="481"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A1B29D4"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22</w:t>
            </w:r>
          </w:p>
        </w:tc>
        <w:tc>
          <w:tcPr>
            <w:tcW w:w="482"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F20A62C"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20</w:t>
            </w:r>
          </w:p>
        </w:tc>
        <w:tc>
          <w:tcPr>
            <w:tcW w:w="482"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293BF01"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31</w:t>
            </w:r>
          </w:p>
        </w:tc>
        <w:tc>
          <w:tcPr>
            <w:tcW w:w="482"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491334BF"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26</w:t>
            </w:r>
          </w:p>
        </w:tc>
        <w:tc>
          <w:tcPr>
            <w:tcW w:w="482"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0DB63C0"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26</w:t>
            </w:r>
          </w:p>
        </w:tc>
        <w:tc>
          <w:tcPr>
            <w:tcW w:w="482"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7B8E607D"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19</w:t>
            </w:r>
          </w:p>
        </w:tc>
        <w:tc>
          <w:tcPr>
            <w:tcW w:w="480"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0188DE7"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30</w:t>
            </w:r>
          </w:p>
        </w:tc>
        <w:tc>
          <w:tcPr>
            <w:tcW w:w="482"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908AAE9"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0.631</w:t>
            </w:r>
          </w:p>
        </w:tc>
        <w:tc>
          <w:tcPr>
            <w:tcW w:w="552" w:type="dxa"/>
            <w:tcBorders>
              <w:top w:val="single" w:sz="8" w:space="0" w:color="000000"/>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C919E3D" w14:textId="77777777" w:rsidR="008F7A0F" w:rsidRPr="00B646C4" w:rsidRDefault="00111B74" w:rsidP="00091263">
            <w:pPr>
              <w:pStyle w:val="EstilodeTabela2A"/>
              <w:ind w:left="-113" w:right="-113"/>
              <w:jc w:val="center"/>
              <w:rPr>
                <w:spacing w:val="-6"/>
              </w:rPr>
            </w:pPr>
            <w:r w:rsidRPr="00B646C4">
              <w:rPr>
                <w:rFonts w:ascii="Times New Roman" w:hAnsi="Times New Roman"/>
                <w:spacing w:val="-6"/>
              </w:rPr>
              <w:t>0.581</w:t>
            </w:r>
          </w:p>
        </w:tc>
      </w:tr>
      <w:tr w:rsidR="008F7A0F" w:rsidRPr="00B646C4" w14:paraId="2837566B" w14:textId="77777777" w:rsidTr="00091263">
        <w:trPr>
          <w:trHeight w:val="972"/>
          <w:jc w:val="right"/>
        </w:trPr>
        <w:tc>
          <w:tcPr>
            <w:tcW w:w="183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7415CF92" w14:textId="77777777" w:rsidR="008F7A0F" w:rsidRPr="00B646C4" w:rsidRDefault="00111B74">
            <w:pPr>
              <w:pStyle w:val="EstilodeTabela2A"/>
            </w:pPr>
            <w:r w:rsidRPr="00B646C4">
              <w:rPr>
                <w:rFonts w:ascii="Times New Roman" w:hAnsi="Times New Roman"/>
              </w:rPr>
              <w:t>Mental and behavioral disorders due to alcohol consumption</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3C90C4E"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831</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2E9ADFA"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769</w:t>
            </w:r>
          </w:p>
        </w:tc>
        <w:tc>
          <w:tcPr>
            <w:tcW w:w="483"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9C43F03"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638</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8B2453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392</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A15EA67"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328</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5CE5DB1"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225</w:t>
            </w:r>
          </w:p>
        </w:tc>
        <w:tc>
          <w:tcPr>
            <w:tcW w:w="481"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8ED14D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301</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A451ECD"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313</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8BB55C5"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260</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5D6425C"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304</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7BC6418"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342</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158A7B0"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430</w:t>
            </w:r>
          </w:p>
        </w:tc>
        <w:tc>
          <w:tcPr>
            <w:tcW w:w="480"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125E2E8"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281</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457E9B33"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0.940</w:t>
            </w:r>
          </w:p>
        </w:tc>
        <w:tc>
          <w:tcPr>
            <w:tcW w:w="55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514C0DB" w14:textId="77777777" w:rsidR="008F7A0F" w:rsidRPr="00B646C4" w:rsidRDefault="00111B74" w:rsidP="00091263">
            <w:pPr>
              <w:pStyle w:val="EstilodeTabela2A"/>
              <w:ind w:left="-113" w:right="-113"/>
              <w:jc w:val="center"/>
              <w:rPr>
                <w:spacing w:val="-6"/>
              </w:rPr>
            </w:pPr>
            <w:r w:rsidRPr="00B646C4">
              <w:rPr>
                <w:rFonts w:ascii="Times New Roman" w:hAnsi="Times New Roman"/>
                <w:spacing w:val="-6"/>
              </w:rPr>
              <w:t>0.000</w:t>
            </w:r>
          </w:p>
        </w:tc>
      </w:tr>
      <w:tr w:rsidR="008F7A0F" w:rsidRPr="00B646C4" w14:paraId="279180BA" w14:textId="77777777" w:rsidTr="00091263">
        <w:trPr>
          <w:trHeight w:val="1192"/>
          <w:jc w:val="right"/>
        </w:trPr>
        <w:tc>
          <w:tcPr>
            <w:tcW w:w="183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DFB1DEF" w14:textId="77777777" w:rsidR="008F7A0F" w:rsidRPr="00B646C4" w:rsidRDefault="00111B74">
            <w:pPr>
              <w:pStyle w:val="EstilodeTabela2A"/>
            </w:pPr>
            <w:r w:rsidRPr="00B646C4">
              <w:rPr>
                <w:rFonts w:ascii="Times New Roman" w:hAnsi="Times New Roman"/>
              </w:rPr>
              <w:lastRenderedPageBreak/>
              <w:t>Mental and behavioral disorders due to consumption of other psychoactive substances</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5B85C93"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419</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CC44BE5"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465</w:t>
            </w:r>
          </w:p>
        </w:tc>
        <w:tc>
          <w:tcPr>
            <w:tcW w:w="483"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1A0578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487</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F4A8685"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499</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9178A2A"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330</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71C2BD3"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292</w:t>
            </w:r>
          </w:p>
        </w:tc>
        <w:tc>
          <w:tcPr>
            <w:tcW w:w="481"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4ECA0AD4"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427</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80E444D"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398</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65F1D49"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417</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9F32ECB"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505</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1570134"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530</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1D6117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497</w:t>
            </w:r>
          </w:p>
        </w:tc>
        <w:tc>
          <w:tcPr>
            <w:tcW w:w="480"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C68D972"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448</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D6AD4BE"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0.029</w:t>
            </w:r>
          </w:p>
        </w:tc>
        <w:tc>
          <w:tcPr>
            <w:tcW w:w="55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67026E8" w14:textId="77777777" w:rsidR="008F7A0F" w:rsidRPr="00B646C4" w:rsidRDefault="00111B74" w:rsidP="00091263">
            <w:pPr>
              <w:pStyle w:val="EstilodeTabela2A"/>
              <w:ind w:left="-113" w:right="-113"/>
              <w:jc w:val="center"/>
              <w:rPr>
                <w:spacing w:val="-6"/>
              </w:rPr>
            </w:pPr>
            <w:r w:rsidRPr="00B646C4">
              <w:rPr>
                <w:rFonts w:ascii="Times New Roman" w:hAnsi="Times New Roman"/>
                <w:spacing w:val="-6"/>
              </w:rPr>
              <w:t>0.209</w:t>
            </w:r>
          </w:p>
        </w:tc>
      </w:tr>
      <w:tr w:rsidR="008F7A0F" w:rsidRPr="00B646C4" w14:paraId="06F890D6" w14:textId="77777777" w:rsidTr="00091263">
        <w:trPr>
          <w:trHeight w:val="972"/>
          <w:jc w:val="right"/>
        </w:trPr>
        <w:tc>
          <w:tcPr>
            <w:tcW w:w="183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4042F5F" w14:textId="77777777" w:rsidR="008F7A0F" w:rsidRPr="00B646C4" w:rsidRDefault="00111B74">
            <w:pPr>
              <w:pStyle w:val="EstilodeTabela2A"/>
            </w:pPr>
            <w:r w:rsidRPr="00B646C4">
              <w:rPr>
                <w:rFonts w:ascii="Times New Roman" w:hAnsi="Times New Roman"/>
              </w:rPr>
              <w:t>Schizophrenia, schizotypal and delusional disorders</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7F9A1424"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2,596</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503B7F7"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2,435</w:t>
            </w:r>
          </w:p>
        </w:tc>
        <w:tc>
          <w:tcPr>
            <w:tcW w:w="483"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AB5678F"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1,642</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C5290D8"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1,423</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68B9BA4"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1,293</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4DEAF15"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1,228</w:t>
            </w:r>
          </w:p>
        </w:tc>
        <w:tc>
          <w:tcPr>
            <w:tcW w:w="481"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DEF7D91"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1,214</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7B0DB59"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937</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6DBBD9A"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912</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7056F60"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1,021</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768E72B7"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1,007</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1D3C333"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1,047</w:t>
            </w:r>
          </w:p>
        </w:tc>
        <w:tc>
          <w:tcPr>
            <w:tcW w:w="480"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43F46AF2"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847</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2B7A394"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0.962</w:t>
            </w:r>
          </w:p>
        </w:tc>
        <w:tc>
          <w:tcPr>
            <w:tcW w:w="55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A0B1A31" w14:textId="77777777" w:rsidR="008F7A0F" w:rsidRPr="00B646C4" w:rsidRDefault="00111B74" w:rsidP="00091263">
            <w:pPr>
              <w:pStyle w:val="EstilodeTabela2A"/>
              <w:ind w:left="-113" w:right="-113"/>
              <w:jc w:val="center"/>
              <w:rPr>
                <w:spacing w:val="-6"/>
              </w:rPr>
            </w:pPr>
            <w:r w:rsidRPr="00B646C4">
              <w:rPr>
                <w:rFonts w:ascii="Times New Roman" w:hAnsi="Times New Roman"/>
                <w:spacing w:val="-6"/>
              </w:rPr>
              <w:t>0.000</w:t>
            </w:r>
          </w:p>
        </w:tc>
      </w:tr>
      <w:tr w:rsidR="008F7A0F" w:rsidRPr="00B646C4" w14:paraId="06C8B16A" w14:textId="77777777" w:rsidTr="00091263">
        <w:trPr>
          <w:trHeight w:val="532"/>
          <w:jc w:val="right"/>
        </w:trPr>
        <w:tc>
          <w:tcPr>
            <w:tcW w:w="183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8D91CB7" w14:textId="77777777" w:rsidR="008F7A0F" w:rsidRPr="00B646C4" w:rsidRDefault="00111B74">
            <w:pPr>
              <w:pStyle w:val="EstilodeTabela2A"/>
            </w:pPr>
            <w:r w:rsidRPr="00B646C4">
              <w:rPr>
                <w:rFonts w:ascii="Times New Roman" w:hAnsi="Times New Roman"/>
              </w:rPr>
              <w:t>Mood (affective) disorders</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C2F4A1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828</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D39EAEA"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854</w:t>
            </w:r>
          </w:p>
        </w:tc>
        <w:tc>
          <w:tcPr>
            <w:tcW w:w="483"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1F5B9FA"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733</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4AEC4A51"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651</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5EBDC7E"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599</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476C12A"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693</w:t>
            </w:r>
          </w:p>
        </w:tc>
        <w:tc>
          <w:tcPr>
            <w:tcW w:w="481"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7ADD379B"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631</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3AB1CDD"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510</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67EFEF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427</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7107F171"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560</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8C6603B"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647</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4D668BBA"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560</w:t>
            </w:r>
          </w:p>
        </w:tc>
        <w:tc>
          <w:tcPr>
            <w:tcW w:w="480"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720B45AB"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472</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57CAEED"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0.809</w:t>
            </w:r>
          </w:p>
        </w:tc>
        <w:tc>
          <w:tcPr>
            <w:tcW w:w="55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B4F930B" w14:textId="77777777" w:rsidR="008F7A0F" w:rsidRPr="00B646C4" w:rsidRDefault="00111B74" w:rsidP="00091263">
            <w:pPr>
              <w:pStyle w:val="EstilodeTabela2A"/>
              <w:ind w:left="-113" w:right="-113"/>
              <w:jc w:val="center"/>
              <w:rPr>
                <w:spacing w:val="-6"/>
              </w:rPr>
            </w:pPr>
            <w:r w:rsidRPr="00B646C4">
              <w:rPr>
                <w:rFonts w:ascii="Times New Roman" w:hAnsi="Times New Roman"/>
                <w:spacing w:val="-6"/>
              </w:rPr>
              <w:t>0.000</w:t>
            </w:r>
          </w:p>
        </w:tc>
      </w:tr>
      <w:tr w:rsidR="008F7A0F" w:rsidRPr="00B646C4" w14:paraId="77BF59A5" w14:textId="77777777" w:rsidTr="00091263">
        <w:trPr>
          <w:trHeight w:val="1192"/>
          <w:jc w:val="right"/>
        </w:trPr>
        <w:tc>
          <w:tcPr>
            <w:tcW w:w="183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C4AED9F" w14:textId="77777777" w:rsidR="008F7A0F" w:rsidRPr="00B646C4" w:rsidRDefault="00111B74">
            <w:pPr>
              <w:pStyle w:val="EstilodeTabela2A"/>
            </w:pPr>
            <w:r w:rsidRPr="00B646C4">
              <w:rPr>
                <w:rFonts w:ascii="Times New Roman" w:hAnsi="Times New Roman"/>
              </w:rPr>
              <w:t>Neurotic disorders related to stress and somatoform disorders</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418ADCDB"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28</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7478D3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36</w:t>
            </w:r>
          </w:p>
        </w:tc>
        <w:tc>
          <w:tcPr>
            <w:tcW w:w="483"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F010750"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34</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458278D4"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35</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9624504"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25</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9FE88CB"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12</w:t>
            </w:r>
          </w:p>
        </w:tc>
        <w:tc>
          <w:tcPr>
            <w:tcW w:w="481"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4D27B2A"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21</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9CB9C34"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12</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334353B"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24</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74EAF711"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44</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751530D2"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49</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48FEECFD"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55</w:t>
            </w:r>
          </w:p>
        </w:tc>
        <w:tc>
          <w:tcPr>
            <w:tcW w:w="480"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76D673C2"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46</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C23CF1E"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0.006</w:t>
            </w:r>
          </w:p>
        </w:tc>
        <w:tc>
          <w:tcPr>
            <w:tcW w:w="55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4CD6C45" w14:textId="77777777" w:rsidR="008F7A0F" w:rsidRPr="00B646C4" w:rsidRDefault="00111B74" w:rsidP="00091263">
            <w:pPr>
              <w:pStyle w:val="EstilodeTabela2A"/>
              <w:ind w:left="-113" w:right="-113"/>
              <w:jc w:val="center"/>
              <w:rPr>
                <w:spacing w:val="-6"/>
              </w:rPr>
            </w:pPr>
            <w:r w:rsidRPr="00B646C4">
              <w:rPr>
                <w:rFonts w:ascii="Times New Roman" w:hAnsi="Times New Roman"/>
                <w:spacing w:val="-6"/>
              </w:rPr>
              <w:t>0.284</w:t>
            </w:r>
          </w:p>
        </w:tc>
      </w:tr>
      <w:tr w:rsidR="008F7A0F" w:rsidRPr="00B646C4" w14:paraId="05514793" w14:textId="77777777" w:rsidTr="00091263">
        <w:trPr>
          <w:trHeight w:val="512"/>
          <w:jc w:val="right"/>
        </w:trPr>
        <w:tc>
          <w:tcPr>
            <w:tcW w:w="183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2DF1332" w14:textId="77777777" w:rsidR="008F7A0F" w:rsidRPr="00B646C4" w:rsidRDefault="00111B74">
            <w:pPr>
              <w:pStyle w:val="EstilodeTabela2A"/>
            </w:pPr>
            <w:r w:rsidRPr="00B646C4">
              <w:rPr>
                <w:rFonts w:ascii="Times New Roman" w:hAnsi="Times New Roman"/>
              </w:rPr>
              <w:t>Mental retardation</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42F00934"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149</w:t>
            </w:r>
          </w:p>
        </w:tc>
        <w:tc>
          <w:tcPr>
            <w:tcW w:w="484"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D9DF7E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105</w:t>
            </w:r>
          </w:p>
        </w:tc>
        <w:tc>
          <w:tcPr>
            <w:tcW w:w="483"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03BDB2C"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76</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353C555"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49</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FC61703"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45</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D6D9AB9"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38</w:t>
            </w:r>
          </w:p>
        </w:tc>
        <w:tc>
          <w:tcPr>
            <w:tcW w:w="481"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30D585ED"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31</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0A7FB589"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28</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063F37A"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20</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75807DB0"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25</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D62B821"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33</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2F3EB91C"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34</w:t>
            </w:r>
          </w:p>
        </w:tc>
        <w:tc>
          <w:tcPr>
            <w:tcW w:w="480"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145028F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30</w:t>
            </w:r>
          </w:p>
        </w:tc>
        <w:tc>
          <w:tcPr>
            <w:tcW w:w="48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62402B4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0.925</w:t>
            </w:r>
          </w:p>
        </w:tc>
        <w:tc>
          <w:tcPr>
            <w:tcW w:w="552" w:type="dxa"/>
            <w:tcBorders>
              <w:top w:val="single" w:sz="8" w:space="0" w:color="FEFEFE"/>
              <w:left w:val="single" w:sz="8" w:space="0" w:color="FEFEFE"/>
              <w:bottom w:val="single" w:sz="8" w:space="0" w:color="FEFEFE"/>
              <w:right w:val="single" w:sz="8" w:space="0" w:color="FEFEFE"/>
            </w:tcBorders>
            <w:shd w:val="clear" w:color="auto" w:fill="FEFEFE"/>
            <w:tcMar>
              <w:top w:w="80" w:type="dxa"/>
              <w:left w:w="80" w:type="dxa"/>
              <w:bottom w:w="80" w:type="dxa"/>
              <w:right w:w="80" w:type="dxa"/>
            </w:tcMar>
            <w:vAlign w:val="center"/>
          </w:tcPr>
          <w:p w14:paraId="52C90853" w14:textId="77777777" w:rsidR="008F7A0F" w:rsidRPr="00B646C4" w:rsidRDefault="00111B74" w:rsidP="00091263">
            <w:pPr>
              <w:pStyle w:val="EstilodeTabela2A"/>
              <w:ind w:left="-113" w:right="-113"/>
              <w:jc w:val="center"/>
              <w:rPr>
                <w:spacing w:val="-6"/>
              </w:rPr>
            </w:pPr>
            <w:r w:rsidRPr="00B646C4">
              <w:rPr>
                <w:rFonts w:ascii="Times New Roman" w:hAnsi="Times New Roman"/>
                <w:spacing w:val="-6"/>
              </w:rPr>
              <w:t>0.000</w:t>
            </w:r>
          </w:p>
        </w:tc>
      </w:tr>
      <w:tr w:rsidR="008F7A0F" w:rsidRPr="00B646C4" w14:paraId="655E3CA2" w14:textId="77777777" w:rsidTr="00091263">
        <w:trPr>
          <w:trHeight w:val="752"/>
          <w:jc w:val="right"/>
        </w:trPr>
        <w:tc>
          <w:tcPr>
            <w:tcW w:w="1832"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1A3389B4" w14:textId="77777777" w:rsidR="008F7A0F" w:rsidRPr="00B646C4" w:rsidRDefault="00111B74">
            <w:pPr>
              <w:pStyle w:val="EstilodeTabela2A"/>
            </w:pPr>
            <w:r w:rsidRPr="00B646C4">
              <w:rPr>
                <w:rFonts w:ascii="Times New Roman" w:hAnsi="Times New Roman"/>
              </w:rPr>
              <w:t>Other mental and behavioral disorders</w:t>
            </w:r>
          </w:p>
        </w:tc>
        <w:tc>
          <w:tcPr>
            <w:tcW w:w="484"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463673D0"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129</w:t>
            </w:r>
          </w:p>
        </w:tc>
        <w:tc>
          <w:tcPr>
            <w:tcW w:w="484"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3205DFF5"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205</w:t>
            </w:r>
          </w:p>
        </w:tc>
        <w:tc>
          <w:tcPr>
            <w:tcW w:w="483"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266D9B5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154</w:t>
            </w:r>
          </w:p>
        </w:tc>
        <w:tc>
          <w:tcPr>
            <w:tcW w:w="482"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55ED0A35"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85</w:t>
            </w:r>
          </w:p>
        </w:tc>
        <w:tc>
          <w:tcPr>
            <w:tcW w:w="482"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01AD768A"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99</w:t>
            </w:r>
          </w:p>
        </w:tc>
        <w:tc>
          <w:tcPr>
            <w:tcW w:w="482"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76A93318"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77</w:t>
            </w:r>
          </w:p>
        </w:tc>
        <w:tc>
          <w:tcPr>
            <w:tcW w:w="481"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541A0AF1"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82</w:t>
            </w:r>
          </w:p>
        </w:tc>
        <w:tc>
          <w:tcPr>
            <w:tcW w:w="482"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0622ADA0"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85</w:t>
            </w:r>
          </w:p>
        </w:tc>
        <w:tc>
          <w:tcPr>
            <w:tcW w:w="482"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7B6B8014"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129</w:t>
            </w:r>
          </w:p>
        </w:tc>
        <w:tc>
          <w:tcPr>
            <w:tcW w:w="482"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661D7EDE"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145</w:t>
            </w:r>
          </w:p>
        </w:tc>
        <w:tc>
          <w:tcPr>
            <w:tcW w:w="482"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1498F161"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162</w:t>
            </w:r>
          </w:p>
        </w:tc>
        <w:tc>
          <w:tcPr>
            <w:tcW w:w="482"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4A70CAD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172</w:t>
            </w:r>
          </w:p>
        </w:tc>
        <w:tc>
          <w:tcPr>
            <w:tcW w:w="480"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64226136"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142</w:t>
            </w:r>
          </w:p>
        </w:tc>
        <w:tc>
          <w:tcPr>
            <w:tcW w:w="482"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15F83CEC"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0.201</w:t>
            </w:r>
          </w:p>
        </w:tc>
        <w:tc>
          <w:tcPr>
            <w:tcW w:w="552" w:type="dxa"/>
            <w:tcBorders>
              <w:top w:val="single" w:sz="8" w:space="0" w:color="FEFEFE"/>
              <w:left w:val="single" w:sz="8" w:space="0" w:color="FEFEFE"/>
              <w:bottom w:val="single" w:sz="8" w:space="0" w:color="000000"/>
              <w:right w:val="single" w:sz="8" w:space="0" w:color="FEFEFE"/>
            </w:tcBorders>
            <w:shd w:val="clear" w:color="auto" w:fill="FEFEFE"/>
            <w:tcMar>
              <w:top w:w="80" w:type="dxa"/>
              <w:left w:w="80" w:type="dxa"/>
              <w:bottom w:w="80" w:type="dxa"/>
              <w:right w:w="80" w:type="dxa"/>
            </w:tcMar>
            <w:vAlign w:val="center"/>
          </w:tcPr>
          <w:p w14:paraId="6F45D737" w14:textId="77777777" w:rsidR="008F7A0F" w:rsidRPr="00B646C4" w:rsidRDefault="00111B74" w:rsidP="00091263">
            <w:pPr>
              <w:pStyle w:val="EstilodeTabela2A"/>
              <w:ind w:left="-113" w:right="-113"/>
              <w:jc w:val="center"/>
              <w:rPr>
                <w:spacing w:val="-6"/>
              </w:rPr>
            </w:pPr>
            <w:r w:rsidRPr="00B646C4">
              <w:rPr>
                <w:rFonts w:ascii="Times New Roman" w:hAnsi="Times New Roman"/>
                <w:spacing w:val="-6"/>
              </w:rPr>
              <w:t>0.170</w:t>
            </w:r>
          </w:p>
        </w:tc>
      </w:tr>
      <w:tr w:rsidR="008F7A0F" w:rsidRPr="00B646C4" w14:paraId="5B54DEB6" w14:textId="77777777" w:rsidTr="00091263">
        <w:trPr>
          <w:trHeight w:val="504"/>
          <w:jc w:val="right"/>
        </w:trPr>
        <w:tc>
          <w:tcPr>
            <w:tcW w:w="1832"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6B49032B" w14:textId="77777777" w:rsidR="008F7A0F" w:rsidRPr="00B646C4" w:rsidRDefault="00111B74">
            <w:pPr>
              <w:pStyle w:val="EstilodeTabela2A"/>
            </w:pPr>
            <w:r w:rsidRPr="00B646C4">
              <w:rPr>
                <w:rFonts w:ascii="Times New Roman" w:hAnsi="Times New Roman"/>
              </w:rPr>
              <w:t>Total</w:t>
            </w:r>
          </w:p>
        </w:tc>
        <w:tc>
          <w:tcPr>
            <w:tcW w:w="484"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6B0B6D2C"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5,027</w:t>
            </w:r>
          </w:p>
        </w:tc>
        <w:tc>
          <w:tcPr>
            <w:tcW w:w="484"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30682832"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4,925</w:t>
            </w:r>
          </w:p>
        </w:tc>
        <w:tc>
          <w:tcPr>
            <w:tcW w:w="483"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26DADFB5"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3,784</w:t>
            </w:r>
          </w:p>
        </w:tc>
        <w:tc>
          <w:tcPr>
            <w:tcW w:w="482"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35C4D88E"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3,156</w:t>
            </w:r>
          </w:p>
        </w:tc>
        <w:tc>
          <w:tcPr>
            <w:tcW w:w="482"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5BB48318"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2,742</w:t>
            </w:r>
          </w:p>
        </w:tc>
        <w:tc>
          <w:tcPr>
            <w:tcW w:w="482"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371622CF"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2,592</w:t>
            </w:r>
          </w:p>
        </w:tc>
        <w:tc>
          <w:tcPr>
            <w:tcW w:w="481"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67423909"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2,729</w:t>
            </w:r>
          </w:p>
        </w:tc>
        <w:tc>
          <w:tcPr>
            <w:tcW w:w="482"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7293064D"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2,303</w:t>
            </w:r>
          </w:p>
        </w:tc>
        <w:tc>
          <w:tcPr>
            <w:tcW w:w="482"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0D65B7BB"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2,220</w:t>
            </w:r>
          </w:p>
        </w:tc>
        <w:tc>
          <w:tcPr>
            <w:tcW w:w="482"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124628E0"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2,630</w:t>
            </w:r>
          </w:p>
        </w:tc>
        <w:tc>
          <w:tcPr>
            <w:tcW w:w="482"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289AC5BC"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2,796</w:t>
            </w:r>
          </w:p>
        </w:tc>
        <w:tc>
          <w:tcPr>
            <w:tcW w:w="482"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54A08527"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2,814</w:t>
            </w:r>
          </w:p>
        </w:tc>
        <w:tc>
          <w:tcPr>
            <w:tcW w:w="480"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2D210A6D"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2,296</w:t>
            </w:r>
          </w:p>
        </w:tc>
        <w:tc>
          <w:tcPr>
            <w:tcW w:w="482"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6799C898" w14:textId="77777777" w:rsidR="008F7A0F" w:rsidRPr="00B646C4" w:rsidRDefault="00111B74" w:rsidP="00091263">
            <w:pPr>
              <w:pStyle w:val="EstilodeTabela2A"/>
              <w:ind w:left="-85" w:right="-85"/>
              <w:jc w:val="center"/>
              <w:rPr>
                <w:spacing w:val="-6"/>
              </w:rPr>
            </w:pPr>
            <w:r w:rsidRPr="00B646C4">
              <w:rPr>
                <w:rFonts w:ascii="Times New Roman" w:hAnsi="Times New Roman"/>
                <w:spacing w:val="-6"/>
              </w:rPr>
              <w:t>-</w:t>
            </w:r>
          </w:p>
        </w:tc>
        <w:tc>
          <w:tcPr>
            <w:tcW w:w="552" w:type="dxa"/>
            <w:tcBorders>
              <w:top w:val="single" w:sz="8"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11B1569F" w14:textId="77777777" w:rsidR="008F7A0F" w:rsidRPr="00B646C4" w:rsidRDefault="00111B74" w:rsidP="00091263">
            <w:pPr>
              <w:pStyle w:val="EstilodeTabela2A"/>
              <w:ind w:left="-113" w:right="-113"/>
              <w:jc w:val="center"/>
              <w:rPr>
                <w:spacing w:val="-6"/>
              </w:rPr>
            </w:pPr>
            <w:r w:rsidRPr="00B646C4">
              <w:rPr>
                <w:rFonts w:ascii="Times New Roman" w:hAnsi="Times New Roman"/>
                <w:spacing w:val="-6"/>
              </w:rPr>
              <w:t>-</w:t>
            </w:r>
          </w:p>
        </w:tc>
      </w:tr>
    </w:tbl>
    <w:p w14:paraId="5FF636AA" w14:textId="77777777" w:rsidR="008F7A0F" w:rsidRPr="00B646C4" w:rsidRDefault="00111B74">
      <w:pPr>
        <w:pStyle w:val="PadroA"/>
        <w:jc w:val="both"/>
        <w:rPr>
          <w:rFonts w:ascii="Times New Roman" w:eastAsia="Times New Roman" w:hAnsi="Times New Roman" w:cs="Times New Roman"/>
          <w:sz w:val="20"/>
          <w:szCs w:val="20"/>
        </w:rPr>
      </w:pPr>
      <w:r w:rsidRPr="00B646C4">
        <w:rPr>
          <w:rFonts w:ascii="Times New Roman" w:hAnsi="Times New Roman"/>
          <w:sz w:val="20"/>
          <w:szCs w:val="20"/>
        </w:rPr>
        <w:t>Source: The authors (2021). Data from the SUS Hospital Information System (SIH/SUS).</w:t>
      </w:r>
    </w:p>
    <w:p w14:paraId="039C0FB9" w14:textId="77777777" w:rsidR="008F7A0F" w:rsidRPr="00B646C4" w:rsidRDefault="00111B74">
      <w:pPr>
        <w:pStyle w:val="PadroA"/>
        <w:rPr>
          <w:rFonts w:ascii="Times New Roman" w:eastAsia="Times New Roman" w:hAnsi="Times New Roman" w:cs="Times New Roman"/>
          <w:sz w:val="20"/>
          <w:szCs w:val="20"/>
        </w:rPr>
      </w:pPr>
      <w:r w:rsidRPr="00B646C4">
        <w:rPr>
          <w:rFonts w:ascii="Times New Roman" w:hAnsi="Times New Roman"/>
          <w:sz w:val="20"/>
          <w:szCs w:val="20"/>
        </w:rPr>
        <w:t>*It refers to Spearman's correlation coefficient</w:t>
      </w:r>
    </w:p>
    <w:p w14:paraId="1513D845" w14:textId="77777777" w:rsidR="008F7A0F" w:rsidRPr="00B646C4" w:rsidRDefault="00111B74">
      <w:pPr>
        <w:pStyle w:val="PadroA"/>
        <w:rPr>
          <w:rFonts w:ascii="Times New Roman" w:eastAsia="Times New Roman" w:hAnsi="Times New Roman" w:cs="Times New Roman"/>
          <w:sz w:val="20"/>
          <w:szCs w:val="20"/>
        </w:rPr>
      </w:pPr>
      <w:r w:rsidRPr="00B646C4">
        <w:rPr>
          <w:rFonts w:ascii="Times New Roman" w:hAnsi="Times New Roman"/>
          <w:sz w:val="20"/>
          <w:szCs w:val="20"/>
        </w:rPr>
        <w:t>R</w:t>
      </w:r>
      <w:r w:rsidRPr="00B646C4">
        <w:rPr>
          <w:rFonts w:ascii="Times New Roman" w:hAnsi="Times New Roman"/>
          <w:sz w:val="20"/>
          <w:szCs w:val="20"/>
          <w:vertAlign w:val="superscript"/>
        </w:rPr>
        <w:t>2</w:t>
      </w:r>
      <w:r w:rsidRPr="00B646C4">
        <w:rPr>
          <w:rFonts w:ascii="Times New Roman" w:hAnsi="Times New Roman"/>
          <w:sz w:val="20"/>
          <w:szCs w:val="20"/>
        </w:rPr>
        <w:t>: Coefficient of determination</w:t>
      </w:r>
    </w:p>
    <w:p w14:paraId="355C7B0D" w14:textId="77777777" w:rsidR="008F7A0F" w:rsidRPr="00E77F63" w:rsidRDefault="008F7A0F">
      <w:pPr>
        <w:pStyle w:val="PadroA"/>
        <w:spacing w:line="480" w:lineRule="auto"/>
        <w:ind w:firstLine="709"/>
        <w:jc w:val="both"/>
        <w:rPr>
          <w:rFonts w:ascii="Times New Roman" w:eastAsia="Times New Roman" w:hAnsi="Times New Roman" w:cs="Times New Roman"/>
          <w:sz w:val="24"/>
          <w:szCs w:val="24"/>
        </w:rPr>
      </w:pPr>
    </w:p>
    <w:p w14:paraId="37E96D1A" w14:textId="73FAAA4D"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A strong relationship was found between the total frequency of psychiatric hospitalizations each year and the frequencies of hospitalizations due to alcohol use</w:t>
      </w:r>
      <w:r w:rsidR="00E77F63">
        <w:rPr>
          <w:rFonts w:ascii="Times New Roman" w:hAnsi="Times New Roman"/>
          <w:sz w:val="24"/>
          <w:szCs w:val="24"/>
        </w:rPr>
        <w:t xml:space="preserve"> </w:t>
      </w:r>
      <w:r w:rsidRPr="00B646C4">
        <w:rPr>
          <w:rFonts w:ascii="Times New Roman" w:hAnsi="Times New Roman"/>
          <w:sz w:val="24"/>
          <w:szCs w:val="24"/>
        </w:rPr>
        <w:t>(rho=+0.929; p=0.000), schizophrenia</w:t>
      </w:r>
      <w:r w:rsidR="00E77F63">
        <w:rPr>
          <w:rFonts w:ascii="Times New Roman" w:hAnsi="Times New Roman"/>
          <w:sz w:val="24"/>
          <w:szCs w:val="24"/>
        </w:rPr>
        <w:t xml:space="preserve"> </w:t>
      </w:r>
      <w:r w:rsidRPr="00B646C4">
        <w:rPr>
          <w:rFonts w:ascii="Times New Roman" w:hAnsi="Times New Roman"/>
          <w:sz w:val="24"/>
          <w:szCs w:val="24"/>
        </w:rPr>
        <w:t>(rho=+0.868; p=0.001), m</w:t>
      </w:r>
      <w:r w:rsidR="00E77F63">
        <w:rPr>
          <w:rFonts w:ascii="Times New Roman" w:hAnsi="Times New Roman"/>
          <w:sz w:val="24"/>
          <w:szCs w:val="24"/>
        </w:rPr>
        <w:t>ood disorders (rho=+0.831; </w:t>
      </w:r>
      <w:r w:rsidRPr="00B646C4">
        <w:rPr>
          <w:rFonts w:ascii="Times New Roman" w:hAnsi="Times New Roman"/>
          <w:sz w:val="24"/>
          <w:szCs w:val="24"/>
        </w:rPr>
        <w:t>p=0.000) and mental retardation (rho=+0.885; p=0.000). In particular, 94.0%, 96.2%, 80.9% and 92.5% of the variability between the values observed regarding frequency of hospitalizations for these four disorders, respectively, are explained by the relationship between them and the total frequency of psychiatric hospitalizations in all the periods recorded.</w:t>
      </w:r>
    </w:p>
    <w:p w14:paraId="110B4DF3" w14:textId="77777777"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lastRenderedPageBreak/>
        <w:t xml:space="preserve">Mental retardation (R$ 2,831.72) and schizophrenia (R$ 1,738.06) presented higher hospitalization costs. The same disorders were responsible for longer hospitalizations: 58.9 and 38.8 days, respectively (Table 2). </w:t>
      </w:r>
    </w:p>
    <w:p w14:paraId="79BA0C09" w14:textId="77777777" w:rsidR="008F7A0F" w:rsidRPr="00E77F63" w:rsidRDefault="008F7A0F">
      <w:pPr>
        <w:pStyle w:val="PadroA"/>
        <w:spacing w:line="480" w:lineRule="auto"/>
        <w:rPr>
          <w:rFonts w:ascii="Times New Roman" w:eastAsia="Times New Roman" w:hAnsi="Times New Roman" w:cs="Times New Roman"/>
          <w:sz w:val="24"/>
          <w:szCs w:val="24"/>
        </w:rPr>
      </w:pPr>
    </w:p>
    <w:p w14:paraId="716CAE47" w14:textId="2D43FB04" w:rsidR="008F7A0F" w:rsidRPr="00B646C4" w:rsidRDefault="00111B74">
      <w:pPr>
        <w:pStyle w:val="PadroA"/>
        <w:jc w:val="both"/>
        <w:rPr>
          <w:rFonts w:ascii="Times New Roman" w:eastAsia="Times New Roman" w:hAnsi="Times New Roman" w:cs="Times New Roman"/>
          <w:sz w:val="24"/>
          <w:szCs w:val="24"/>
          <w:shd w:val="clear" w:color="auto" w:fill="FFFFFF"/>
        </w:rPr>
      </w:pPr>
      <w:r w:rsidRPr="00B646C4">
        <w:rPr>
          <w:rFonts w:ascii="Times New Roman" w:hAnsi="Times New Roman"/>
          <w:sz w:val="24"/>
          <w:szCs w:val="24"/>
        </w:rPr>
        <w:t xml:space="preserve">Table 2 - Number of hospitalizations, mean cost per hospitalization and hospitalization time related to mental/behavioral disorders. Piauí, PI, Brazil, 2008 - 2020 </w:t>
      </w:r>
    </w:p>
    <w:tbl>
      <w:tblPr>
        <w:tblStyle w:val="TableNormal"/>
        <w:tblW w:w="924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1701"/>
        <w:gridCol w:w="1765"/>
        <w:gridCol w:w="1665"/>
      </w:tblGrid>
      <w:tr w:rsidR="008F7A0F" w:rsidRPr="00B646C4" w14:paraId="175D4C9F" w14:textId="77777777" w:rsidTr="00091263">
        <w:trPr>
          <w:trHeight w:val="1215"/>
        </w:trPr>
        <w:tc>
          <w:tcPr>
            <w:tcW w:w="4111" w:type="dxa"/>
            <w:tcBorders>
              <w:top w:val="single" w:sz="2"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7166C11E" w14:textId="77777777" w:rsidR="008F7A0F" w:rsidRPr="00B646C4" w:rsidRDefault="00111B74">
            <w:pPr>
              <w:pStyle w:val="EstilodeTabela2A"/>
              <w:jc w:val="center"/>
            </w:pPr>
            <w:r w:rsidRPr="00B646C4">
              <w:rPr>
                <w:rFonts w:ascii="Times New Roman" w:hAnsi="Times New Roman"/>
                <w:b/>
                <w:bCs/>
                <w:sz w:val="24"/>
                <w:szCs w:val="24"/>
              </w:rPr>
              <w:t>Mental/Behavioral disorders</w:t>
            </w:r>
          </w:p>
        </w:tc>
        <w:tc>
          <w:tcPr>
            <w:tcW w:w="1701" w:type="dxa"/>
            <w:tcBorders>
              <w:top w:val="single" w:sz="2"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0E0B8853" w14:textId="77777777" w:rsidR="008F7A0F" w:rsidRPr="00B646C4" w:rsidRDefault="00111B74" w:rsidP="00091263">
            <w:pPr>
              <w:pStyle w:val="EstilodeTabela2A"/>
              <w:ind w:left="-57" w:right="-57"/>
              <w:jc w:val="center"/>
            </w:pPr>
            <w:r w:rsidRPr="00B646C4">
              <w:rPr>
                <w:rFonts w:ascii="Times New Roman" w:hAnsi="Times New Roman"/>
                <w:b/>
                <w:bCs/>
                <w:sz w:val="24"/>
                <w:szCs w:val="24"/>
              </w:rPr>
              <w:t>Hospitalizations</w:t>
            </w:r>
          </w:p>
        </w:tc>
        <w:tc>
          <w:tcPr>
            <w:tcW w:w="1765" w:type="dxa"/>
            <w:tcBorders>
              <w:top w:val="single" w:sz="2"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6B798555" w14:textId="77777777" w:rsidR="008F7A0F" w:rsidRPr="00B646C4" w:rsidRDefault="00111B74">
            <w:pPr>
              <w:pStyle w:val="EstilodeTabela2A"/>
              <w:jc w:val="center"/>
            </w:pPr>
            <w:r w:rsidRPr="00B646C4">
              <w:rPr>
                <w:rFonts w:ascii="Times New Roman" w:hAnsi="Times New Roman"/>
                <w:b/>
                <w:bCs/>
                <w:sz w:val="24"/>
                <w:szCs w:val="24"/>
              </w:rPr>
              <w:t>Mean cost per hospitalization (in reais)</w:t>
            </w:r>
          </w:p>
        </w:tc>
        <w:tc>
          <w:tcPr>
            <w:tcW w:w="1665" w:type="dxa"/>
            <w:tcBorders>
              <w:top w:val="single" w:sz="2"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2FFCFC06" w14:textId="77777777" w:rsidR="008F7A0F" w:rsidRPr="00B646C4" w:rsidRDefault="00111B74" w:rsidP="00091263">
            <w:pPr>
              <w:pStyle w:val="EstilodeTabela2A"/>
              <w:ind w:left="-57" w:right="-57"/>
              <w:jc w:val="center"/>
            </w:pPr>
            <w:r w:rsidRPr="00B646C4">
              <w:rPr>
                <w:rFonts w:ascii="Times New Roman" w:hAnsi="Times New Roman"/>
                <w:b/>
                <w:bCs/>
                <w:sz w:val="24"/>
                <w:szCs w:val="24"/>
              </w:rPr>
              <w:t>Mean hospitalization time (in days)</w:t>
            </w:r>
          </w:p>
        </w:tc>
      </w:tr>
      <w:tr w:rsidR="008F7A0F" w:rsidRPr="00B646C4" w14:paraId="246D82C7" w14:textId="77777777" w:rsidTr="00091263">
        <w:trPr>
          <w:trHeight w:val="315"/>
        </w:trPr>
        <w:tc>
          <w:tcPr>
            <w:tcW w:w="4111" w:type="dxa"/>
            <w:tcBorders>
              <w:top w:val="single" w:sz="2" w:space="0" w:color="000000"/>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71512C73" w14:textId="77777777" w:rsidR="008F7A0F" w:rsidRPr="00B646C4" w:rsidRDefault="00111B74">
            <w:pPr>
              <w:pStyle w:val="EstilodeTabela2A"/>
            </w:pPr>
            <w:r w:rsidRPr="00B646C4">
              <w:rPr>
                <w:rFonts w:ascii="Times New Roman" w:hAnsi="Times New Roman"/>
                <w:sz w:val="24"/>
                <w:szCs w:val="24"/>
              </w:rPr>
              <w:t>Dementia</w:t>
            </w:r>
          </w:p>
        </w:tc>
        <w:tc>
          <w:tcPr>
            <w:tcW w:w="1701" w:type="dxa"/>
            <w:tcBorders>
              <w:top w:val="single" w:sz="2" w:space="0" w:color="000000"/>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52233CED" w14:textId="77777777" w:rsidR="008F7A0F" w:rsidRPr="00B646C4" w:rsidRDefault="00111B74">
            <w:pPr>
              <w:pStyle w:val="EstilodeTabela2A"/>
              <w:jc w:val="center"/>
            </w:pPr>
            <w:r w:rsidRPr="00B646C4">
              <w:rPr>
                <w:rFonts w:ascii="Times New Roman" w:hAnsi="Times New Roman"/>
                <w:sz w:val="24"/>
                <w:szCs w:val="24"/>
              </w:rPr>
              <w:t>369</w:t>
            </w:r>
          </w:p>
        </w:tc>
        <w:tc>
          <w:tcPr>
            <w:tcW w:w="1765" w:type="dxa"/>
            <w:tcBorders>
              <w:top w:val="single" w:sz="2" w:space="0" w:color="000000"/>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2CE52165" w14:textId="77777777" w:rsidR="008F7A0F" w:rsidRPr="00B646C4" w:rsidRDefault="00111B74">
            <w:pPr>
              <w:pStyle w:val="EstilodeTabela2A"/>
              <w:jc w:val="center"/>
            </w:pPr>
            <w:r w:rsidRPr="00B646C4">
              <w:rPr>
                <w:rFonts w:ascii="Times New Roman" w:hAnsi="Times New Roman"/>
                <w:sz w:val="24"/>
                <w:szCs w:val="24"/>
              </w:rPr>
              <w:t>1,076.74</w:t>
            </w:r>
          </w:p>
        </w:tc>
        <w:tc>
          <w:tcPr>
            <w:tcW w:w="1665" w:type="dxa"/>
            <w:tcBorders>
              <w:top w:val="single" w:sz="2" w:space="0" w:color="000000"/>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6D3EFC9A" w14:textId="77777777" w:rsidR="008F7A0F" w:rsidRPr="00B646C4" w:rsidRDefault="00111B74">
            <w:pPr>
              <w:pStyle w:val="EstilodeTabela2A"/>
              <w:jc w:val="center"/>
            </w:pPr>
            <w:r w:rsidRPr="00B646C4">
              <w:rPr>
                <w:rFonts w:ascii="Times New Roman" w:hAnsi="Times New Roman"/>
                <w:sz w:val="24"/>
                <w:szCs w:val="24"/>
              </w:rPr>
              <w:t>28.4</w:t>
            </w:r>
          </w:p>
        </w:tc>
      </w:tr>
      <w:tr w:rsidR="008F7A0F" w:rsidRPr="00B646C4" w14:paraId="4253843B" w14:textId="77777777" w:rsidTr="00091263">
        <w:trPr>
          <w:trHeight w:val="615"/>
        </w:trPr>
        <w:tc>
          <w:tcPr>
            <w:tcW w:w="411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183ED640" w14:textId="77777777" w:rsidR="008F7A0F" w:rsidRPr="00B646C4" w:rsidRDefault="00111B74">
            <w:pPr>
              <w:pStyle w:val="EstilodeTabela2A"/>
            </w:pPr>
            <w:r w:rsidRPr="00B646C4">
              <w:rPr>
                <w:rFonts w:ascii="Times New Roman" w:hAnsi="Times New Roman"/>
                <w:sz w:val="24"/>
                <w:szCs w:val="24"/>
              </w:rPr>
              <w:t>Mental and behavioral disorders due to alcohol consumption</w:t>
            </w:r>
          </w:p>
        </w:tc>
        <w:tc>
          <w:tcPr>
            <w:tcW w:w="170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3DAE1371" w14:textId="77777777" w:rsidR="008F7A0F" w:rsidRPr="00B646C4" w:rsidRDefault="00111B74">
            <w:pPr>
              <w:pStyle w:val="EstilodeTabela2A"/>
              <w:jc w:val="center"/>
            </w:pPr>
            <w:r w:rsidRPr="00B646C4">
              <w:rPr>
                <w:rFonts w:ascii="Times New Roman" w:hAnsi="Times New Roman"/>
                <w:sz w:val="24"/>
                <w:szCs w:val="24"/>
              </w:rPr>
              <w:t>5,566</w:t>
            </w:r>
          </w:p>
        </w:tc>
        <w:tc>
          <w:tcPr>
            <w:tcW w:w="17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5A2CA6BF" w14:textId="77777777" w:rsidR="008F7A0F" w:rsidRPr="00B646C4" w:rsidRDefault="00111B74">
            <w:pPr>
              <w:pStyle w:val="EstilodeTabela2A"/>
              <w:jc w:val="center"/>
            </w:pPr>
            <w:r w:rsidRPr="00B646C4">
              <w:rPr>
                <w:rFonts w:ascii="Times New Roman" w:hAnsi="Times New Roman"/>
                <w:sz w:val="24"/>
                <w:szCs w:val="24"/>
              </w:rPr>
              <w:t>657.43</w:t>
            </w:r>
          </w:p>
        </w:tc>
        <w:tc>
          <w:tcPr>
            <w:tcW w:w="16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7E05DF46" w14:textId="77777777" w:rsidR="008F7A0F" w:rsidRPr="00B646C4" w:rsidRDefault="00111B74">
            <w:pPr>
              <w:pStyle w:val="EstilodeTabela2A"/>
              <w:jc w:val="center"/>
            </w:pPr>
            <w:r w:rsidRPr="00B646C4">
              <w:rPr>
                <w:rFonts w:ascii="Times New Roman" w:hAnsi="Times New Roman"/>
                <w:sz w:val="24"/>
                <w:szCs w:val="24"/>
              </w:rPr>
              <w:t>14.4</w:t>
            </w:r>
          </w:p>
        </w:tc>
      </w:tr>
      <w:tr w:rsidR="008F7A0F" w:rsidRPr="00B646C4" w14:paraId="410A65DC" w14:textId="77777777" w:rsidTr="00091263">
        <w:trPr>
          <w:trHeight w:val="915"/>
        </w:trPr>
        <w:tc>
          <w:tcPr>
            <w:tcW w:w="411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19049265" w14:textId="77777777" w:rsidR="008F7A0F" w:rsidRPr="00B646C4" w:rsidRDefault="00111B74">
            <w:pPr>
              <w:pStyle w:val="EstilodeTabela2A"/>
            </w:pPr>
            <w:r w:rsidRPr="00B646C4">
              <w:rPr>
                <w:rFonts w:ascii="Times New Roman" w:hAnsi="Times New Roman"/>
                <w:sz w:val="24"/>
                <w:szCs w:val="24"/>
              </w:rPr>
              <w:t>Mental and behavioral disorders due to consumption of other psychoactive substances</w:t>
            </w:r>
          </w:p>
        </w:tc>
        <w:tc>
          <w:tcPr>
            <w:tcW w:w="170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5F70E0B1" w14:textId="77777777" w:rsidR="008F7A0F" w:rsidRPr="00B646C4" w:rsidRDefault="00111B74">
            <w:pPr>
              <w:pStyle w:val="EstilodeTabela2A"/>
              <w:jc w:val="center"/>
            </w:pPr>
            <w:r w:rsidRPr="00B646C4">
              <w:rPr>
                <w:rFonts w:ascii="Times New Roman" w:hAnsi="Times New Roman"/>
                <w:sz w:val="24"/>
                <w:szCs w:val="24"/>
              </w:rPr>
              <w:t>5,781</w:t>
            </w:r>
          </w:p>
        </w:tc>
        <w:tc>
          <w:tcPr>
            <w:tcW w:w="17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0868C264" w14:textId="77777777" w:rsidR="008F7A0F" w:rsidRPr="00B646C4" w:rsidRDefault="00111B74">
            <w:pPr>
              <w:pStyle w:val="EstilodeTabela2A"/>
              <w:jc w:val="center"/>
            </w:pPr>
            <w:r w:rsidRPr="00B646C4">
              <w:rPr>
                <w:rFonts w:ascii="Times New Roman" w:hAnsi="Times New Roman"/>
                <w:sz w:val="24"/>
                <w:szCs w:val="24"/>
              </w:rPr>
              <w:t>886.89</w:t>
            </w:r>
          </w:p>
        </w:tc>
        <w:tc>
          <w:tcPr>
            <w:tcW w:w="16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35F632DF" w14:textId="77777777" w:rsidR="008F7A0F" w:rsidRPr="00B646C4" w:rsidRDefault="00111B74">
            <w:pPr>
              <w:pStyle w:val="EstilodeTabela2A"/>
              <w:jc w:val="center"/>
            </w:pPr>
            <w:r w:rsidRPr="00B646C4">
              <w:rPr>
                <w:rFonts w:ascii="Times New Roman" w:hAnsi="Times New Roman"/>
                <w:sz w:val="24"/>
                <w:szCs w:val="24"/>
              </w:rPr>
              <w:t>15.3</w:t>
            </w:r>
          </w:p>
        </w:tc>
      </w:tr>
      <w:tr w:rsidR="008F7A0F" w:rsidRPr="00B646C4" w14:paraId="7FA9500C" w14:textId="77777777" w:rsidTr="00091263">
        <w:trPr>
          <w:trHeight w:val="615"/>
        </w:trPr>
        <w:tc>
          <w:tcPr>
            <w:tcW w:w="411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46F28263" w14:textId="77777777" w:rsidR="008F7A0F" w:rsidRPr="00B646C4" w:rsidRDefault="00111B74">
            <w:pPr>
              <w:pStyle w:val="EstilodeTabela2A"/>
            </w:pPr>
            <w:r w:rsidRPr="00B646C4">
              <w:rPr>
                <w:rFonts w:ascii="Times New Roman" w:hAnsi="Times New Roman"/>
                <w:sz w:val="24"/>
                <w:szCs w:val="24"/>
              </w:rPr>
              <w:t>Schizophrenia, schizotypal and delusional disorders</w:t>
            </w:r>
          </w:p>
        </w:tc>
        <w:tc>
          <w:tcPr>
            <w:tcW w:w="170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6080E528" w14:textId="77777777" w:rsidR="008F7A0F" w:rsidRPr="00B646C4" w:rsidRDefault="00111B74">
            <w:pPr>
              <w:pStyle w:val="EstilodeTabela2A"/>
              <w:jc w:val="center"/>
            </w:pPr>
            <w:r w:rsidRPr="00B646C4">
              <w:rPr>
                <w:rFonts w:ascii="Times New Roman" w:hAnsi="Times New Roman"/>
                <w:sz w:val="24"/>
                <w:szCs w:val="24"/>
              </w:rPr>
              <w:t>17,877</w:t>
            </w:r>
          </w:p>
        </w:tc>
        <w:tc>
          <w:tcPr>
            <w:tcW w:w="17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4BE41D87" w14:textId="77777777" w:rsidR="008F7A0F" w:rsidRPr="00B646C4" w:rsidRDefault="00111B74">
            <w:pPr>
              <w:pStyle w:val="EstilodeTabela2A"/>
              <w:jc w:val="center"/>
            </w:pPr>
            <w:r w:rsidRPr="00B646C4">
              <w:rPr>
                <w:rFonts w:ascii="Times New Roman" w:hAnsi="Times New Roman"/>
                <w:sz w:val="24"/>
                <w:szCs w:val="24"/>
              </w:rPr>
              <w:t>1,738.06</w:t>
            </w:r>
          </w:p>
        </w:tc>
        <w:tc>
          <w:tcPr>
            <w:tcW w:w="16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094D9066" w14:textId="77777777" w:rsidR="008F7A0F" w:rsidRPr="00B646C4" w:rsidRDefault="00111B74">
            <w:pPr>
              <w:pStyle w:val="EstilodeTabela2A"/>
              <w:jc w:val="center"/>
            </w:pPr>
            <w:r w:rsidRPr="00B646C4">
              <w:rPr>
                <w:rFonts w:ascii="Times New Roman" w:hAnsi="Times New Roman"/>
                <w:sz w:val="24"/>
                <w:szCs w:val="24"/>
              </w:rPr>
              <w:t>38.8</w:t>
            </w:r>
          </w:p>
        </w:tc>
      </w:tr>
      <w:tr w:rsidR="008F7A0F" w:rsidRPr="00B646C4" w14:paraId="3BCE47B8" w14:textId="77777777" w:rsidTr="00091263">
        <w:trPr>
          <w:trHeight w:val="315"/>
        </w:trPr>
        <w:tc>
          <w:tcPr>
            <w:tcW w:w="411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1D70E901" w14:textId="77777777" w:rsidR="008F7A0F" w:rsidRPr="00B646C4" w:rsidRDefault="00111B74">
            <w:pPr>
              <w:pStyle w:val="EstilodeTabela2A"/>
            </w:pPr>
            <w:r w:rsidRPr="00B646C4">
              <w:rPr>
                <w:rFonts w:ascii="Times New Roman" w:hAnsi="Times New Roman"/>
                <w:sz w:val="24"/>
                <w:szCs w:val="24"/>
              </w:rPr>
              <w:t>Mood (affective) disorders</w:t>
            </w:r>
          </w:p>
        </w:tc>
        <w:tc>
          <w:tcPr>
            <w:tcW w:w="170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0FA77C98" w14:textId="77777777" w:rsidR="008F7A0F" w:rsidRPr="00B646C4" w:rsidRDefault="00111B74">
            <w:pPr>
              <w:pStyle w:val="EstilodeTabela2A"/>
              <w:jc w:val="center"/>
            </w:pPr>
            <w:r w:rsidRPr="00B646C4">
              <w:rPr>
                <w:rFonts w:ascii="Times New Roman" w:hAnsi="Times New Roman"/>
                <w:sz w:val="24"/>
                <w:szCs w:val="24"/>
              </w:rPr>
              <w:t>8,239</w:t>
            </w:r>
          </w:p>
        </w:tc>
        <w:tc>
          <w:tcPr>
            <w:tcW w:w="17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276393A9" w14:textId="77777777" w:rsidR="008F7A0F" w:rsidRPr="00B646C4" w:rsidRDefault="00111B74">
            <w:pPr>
              <w:pStyle w:val="EstilodeTabela2A"/>
              <w:jc w:val="center"/>
            </w:pPr>
            <w:r w:rsidRPr="00B646C4">
              <w:rPr>
                <w:rFonts w:ascii="Times New Roman" w:hAnsi="Times New Roman"/>
                <w:sz w:val="24"/>
                <w:szCs w:val="24"/>
              </w:rPr>
              <w:t>1,015.32</w:t>
            </w:r>
          </w:p>
        </w:tc>
        <w:tc>
          <w:tcPr>
            <w:tcW w:w="16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322475F7" w14:textId="77777777" w:rsidR="008F7A0F" w:rsidRPr="00B646C4" w:rsidRDefault="00111B74">
            <w:pPr>
              <w:pStyle w:val="EstilodeTabela2A"/>
              <w:jc w:val="center"/>
            </w:pPr>
            <w:r w:rsidRPr="00B646C4">
              <w:rPr>
                <w:rFonts w:ascii="Times New Roman" w:hAnsi="Times New Roman"/>
                <w:sz w:val="24"/>
                <w:szCs w:val="24"/>
              </w:rPr>
              <w:t>26.6</w:t>
            </w:r>
          </w:p>
        </w:tc>
      </w:tr>
      <w:tr w:rsidR="008F7A0F" w:rsidRPr="00B646C4" w14:paraId="604303B4" w14:textId="77777777" w:rsidTr="00091263">
        <w:trPr>
          <w:trHeight w:val="615"/>
        </w:trPr>
        <w:tc>
          <w:tcPr>
            <w:tcW w:w="411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73A22027" w14:textId="77777777" w:rsidR="008F7A0F" w:rsidRPr="00B646C4" w:rsidRDefault="00111B74">
            <w:pPr>
              <w:pStyle w:val="EstilodeTabela2A"/>
            </w:pPr>
            <w:r w:rsidRPr="00B646C4">
              <w:rPr>
                <w:rFonts w:ascii="Times New Roman" w:hAnsi="Times New Roman"/>
                <w:sz w:val="24"/>
                <w:szCs w:val="24"/>
              </w:rPr>
              <w:t>Neurotic disorders related to stress and somatoform disorders</w:t>
            </w:r>
          </w:p>
        </w:tc>
        <w:tc>
          <w:tcPr>
            <w:tcW w:w="170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2DB86EDB" w14:textId="77777777" w:rsidR="008F7A0F" w:rsidRPr="00B646C4" w:rsidRDefault="00111B74">
            <w:pPr>
              <w:pStyle w:val="EstilodeTabela2A"/>
              <w:jc w:val="center"/>
            </w:pPr>
            <w:r w:rsidRPr="00B646C4">
              <w:rPr>
                <w:rFonts w:ascii="Times New Roman" w:hAnsi="Times New Roman"/>
                <w:sz w:val="24"/>
                <w:szCs w:val="24"/>
              </w:rPr>
              <w:t>423</w:t>
            </w:r>
          </w:p>
        </w:tc>
        <w:tc>
          <w:tcPr>
            <w:tcW w:w="17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1781969C" w14:textId="77777777" w:rsidR="008F7A0F" w:rsidRPr="00B646C4" w:rsidRDefault="00111B74">
            <w:pPr>
              <w:pStyle w:val="EstilodeTabela2A"/>
              <w:jc w:val="center"/>
            </w:pPr>
            <w:r w:rsidRPr="00B646C4">
              <w:rPr>
                <w:rFonts w:ascii="Times New Roman" w:hAnsi="Times New Roman"/>
                <w:sz w:val="24"/>
                <w:szCs w:val="24"/>
              </w:rPr>
              <w:t>601.35</w:t>
            </w:r>
          </w:p>
        </w:tc>
        <w:tc>
          <w:tcPr>
            <w:tcW w:w="16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617BAA59" w14:textId="77777777" w:rsidR="008F7A0F" w:rsidRPr="00B646C4" w:rsidRDefault="00111B74">
            <w:pPr>
              <w:pStyle w:val="EstilodeTabela2A"/>
              <w:jc w:val="center"/>
            </w:pPr>
            <w:r w:rsidRPr="00B646C4">
              <w:rPr>
                <w:rFonts w:ascii="Times New Roman" w:hAnsi="Times New Roman"/>
                <w:sz w:val="24"/>
                <w:szCs w:val="24"/>
              </w:rPr>
              <w:t>19.2</w:t>
            </w:r>
          </w:p>
        </w:tc>
      </w:tr>
      <w:tr w:rsidR="008F7A0F" w:rsidRPr="00B646C4" w14:paraId="188F9FD9" w14:textId="77777777" w:rsidTr="00091263">
        <w:trPr>
          <w:trHeight w:val="315"/>
        </w:trPr>
        <w:tc>
          <w:tcPr>
            <w:tcW w:w="411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05F1F566" w14:textId="77777777" w:rsidR="008F7A0F" w:rsidRPr="00B646C4" w:rsidRDefault="00111B74">
            <w:pPr>
              <w:pStyle w:val="EstilodeTabela2A"/>
            </w:pPr>
            <w:r w:rsidRPr="00B646C4">
              <w:rPr>
                <w:rFonts w:ascii="Times New Roman" w:hAnsi="Times New Roman"/>
                <w:sz w:val="24"/>
                <w:szCs w:val="24"/>
              </w:rPr>
              <w:t>Mental retardation</w:t>
            </w:r>
          </w:p>
        </w:tc>
        <w:tc>
          <w:tcPr>
            <w:tcW w:w="1701"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2E5FF7D6" w14:textId="77777777" w:rsidR="008F7A0F" w:rsidRPr="00B646C4" w:rsidRDefault="00111B74">
            <w:pPr>
              <w:pStyle w:val="EstilodeTabela2A"/>
              <w:jc w:val="center"/>
            </w:pPr>
            <w:r w:rsidRPr="00B646C4">
              <w:rPr>
                <w:rFonts w:ascii="Times New Roman" w:hAnsi="Times New Roman"/>
                <w:sz w:val="24"/>
                <w:szCs w:val="24"/>
              </w:rPr>
              <w:t>678</w:t>
            </w:r>
          </w:p>
        </w:tc>
        <w:tc>
          <w:tcPr>
            <w:tcW w:w="17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32B3A5E8" w14:textId="77777777" w:rsidR="008F7A0F" w:rsidRPr="00B646C4" w:rsidRDefault="00111B74">
            <w:pPr>
              <w:pStyle w:val="EstilodeTabela2A"/>
              <w:jc w:val="center"/>
            </w:pPr>
            <w:r w:rsidRPr="00B646C4">
              <w:rPr>
                <w:rFonts w:ascii="Times New Roman" w:hAnsi="Times New Roman"/>
                <w:sz w:val="24"/>
                <w:szCs w:val="24"/>
              </w:rPr>
              <w:t>2,831.72</w:t>
            </w:r>
          </w:p>
        </w:tc>
        <w:tc>
          <w:tcPr>
            <w:tcW w:w="1665" w:type="dxa"/>
            <w:tcBorders>
              <w:top w:val="single" w:sz="2" w:space="0" w:color="FEFEFE"/>
              <w:left w:val="single" w:sz="2" w:space="0" w:color="FEFEFE"/>
              <w:bottom w:val="single" w:sz="2" w:space="0" w:color="FEFEFE"/>
              <w:right w:val="single" w:sz="2" w:space="0" w:color="FEFEFE"/>
            </w:tcBorders>
            <w:shd w:val="clear" w:color="auto" w:fill="FEFEFE"/>
            <w:tcMar>
              <w:top w:w="80" w:type="dxa"/>
              <w:left w:w="80" w:type="dxa"/>
              <w:bottom w:w="80" w:type="dxa"/>
              <w:right w:w="80" w:type="dxa"/>
            </w:tcMar>
            <w:vAlign w:val="center"/>
          </w:tcPr>
          <w:p w14:paraId="30F094F7" w14:textId="77777777" w:rsidR="008F7A0F" w:rsidRPr="00B646C4" w:rsidRDefault="00111B74">
            <w:pPr>
              <w:pStyle w:val="EstilodeTabela2A"/>
              <w:jc w:val="center"/>
            </w:pPr>
            <w:r w:rsidRPr="00B646C4">
              <w:rPr>
                <w:rFonts w:ascii="Times New Roman" w:hAnsi="Times New Roman"/>
                <w:sz w:val="24"/>
                <w:szCs w:val="24"/>
              </w:rPr>
              <w:t>58.9</w:t>
            </w:r>
          </w:p>
        </w:tc>
      </w:tr>
      <w:tr w:rsidR="008F7A0F" w:rsidRPr="00B646C4" w14:paraId="7707BE51" w14:textId="77777777" w:rsidTr="00091263">
        <w:trPr>
          <w:trHeight w:val="615"/>
        </w:trPr>
        <w:tc>
          <w:tcPr>
            <w:tcW w:w="4111" w:type="dxa"/>
            <w:tcBorders>
              <w:top w:val="single" w:sz="2" w:space="0" w:color="FEFEFE"/>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58F412AF" w14:textId="77777777" w:rsidR="008F7A0F" w:rsidRPr="00B646C4" w:rsidRDefault="00111B74">
            <w:pPr>
              <w:pStyle w:val="EstilodeTabela2A"/>
            </w:pPr>
            <w:r w:rsidRPr="00B646C4">
              <w:rPr>
                <w:rFonts w:ascii="Times New Roman" w:hAnsi="Times New Roman"/>
                <w:sz w:val="24"/>
                <w:szCs w:val="24"/>
              </w:rPr>
              <w:t xml:space="preserve">Other mental and behavioral disorders </w:t>
            </w:r>
          </w:p>
        </w:tc>
        <w:tc>
          <w:tcPr>
            <w:tcW w:w="1701" w:type="dxa"/>
            <w:tcBorders>
              <w:top w:val="single" w:sz="2" w:space="0" w:color="FEFEFE"/>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267DAF06" w14:textId="77777777" w:rsidR="008F7A0F" w:rsidRPr="00B646C4" w:rsidRDefault="00111B74">
            <w:pPr>
              <w:pStyle w:val="EstilodeTabela2A"/>
              <w:jc w:val="center"/>
            </w:pPr>
            <w:r w:rsidRPr="00B646C4">
              <w:rPr>
                <w:rFonts w:ascii="Times New Roman" w:hAnsi="Times New Roman"/>
                <w:sz w:val="24"/>
                <w:szCs w:val="24"/>
              </w:rPr>
              <w:t>1,675</w:t>
            </w:r>
          </w:p>
        </w:tc>
        <w:tc>
          <w:tcPr>
            <w:tcW w:w="1765" w:type="dxa"/>
            <w:tcBorders>
              <w:top w:val="single" w:sz="2" w:space="0" w:color="FEFEFE"/>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3EB03ECA" w14:textId="77777777" w:rsidR="008F7A0F" w:rsidRPr="00B646C4" w:rsidRDefault="00111B74">
            <w:pPr>
              <w:pStyle w:val="EstilodeTabela2A"/>
              <w:jc w:val="center"/>
            </w:pPr>
            <w:r w:rsidRPr="00B646C4">
              <w:rPr>
                <w:rFonts w:ascii="Times New Roman" w:hAnsi="Times New Roman"/>
                <w:sz w:val="24"/>
                <w:szCs w:val="24"/>
              </w:rPr>
              <w:t>992.64</w:t>
            </w:r>
          </w:p>
        </w:tc>
        <w:tc>
          <w:tcPr>
            <w:tcW w:w="1665" w:type="dxa"/>
            <w:tcBorders>
              <w:top w:val="single" w:sz="2" w:space="0" w:color="FEFEFE"/>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0A659B69" w14:textId="77777777" w:rsidR="008F7A0F" w:rsidRPr="00B646C4" w:rsidRDefault="00111B74">
            <w:pPr>
              <w:pStyle w:val="EstilodeTabela2A"/>
              <w:jc w:val="center"/>
            </w:pPr>
            <w:r w:rsidRPr="00B646C4">
              <w:rPr>
                <w:rFonts w:ascii="Times New Roman" w:hAnsi="Times New Roman"/>
                <w:sz w:val="24"/>
                <w:szCs w:val="24"/>
              </w:rPr>
              <w:t>28</w:t>
            </w:r>
          </w:p>
        </w:tc>
      </w:tr>
      <w:tr w:rsidR="008F7A0F" w:rsidRPr="00B646C4" w14:paraId="01DC30E1" w14:textId="77777777" w:rsidTr="00091263">
        <w:trPr>
          <w:trHeight w:val="315"/>
        </w:trPr>
        <w:tc>
          <w:tcPr>
            <w:tcW w:w="4111" w:type="dxa"/>
            <w:tcBorders>
              <w:top w:val="single" w:sz="2"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7F1D2BF3" w14:textId="77777777" w:rsidR="008F7A0F" w:rsidRPr="00B646C4" w:rsidRDefault="00111B74">
            <w:pPr>
              <w:pStyle w:val="EstilodeTabela2A"/>
            </w:pPr>
            <w:r w:rsidRPr="00B646C4">
              <w:rPr>
                <w:rFonts w:ascii="Times New Roman" w:hAnsi="Times New Roman"/>
                <w:sz w:val="24"/>
                <w:szCs w:val="24"/>
              </w:rPr>
              <w:t>Total</w:t>
            </w:r>
          </w:p>
        </w:tc>
        <w:tc>
          <w:tcPr>
            <w:tcW w:w="1701" w:type="dxa"/>
            <w:tcBorders>
              <w:top w:val="single" w:sz="2"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1D2BF34E" w14:textId="77777777" w:rsidR="008F7A0F" w:rsidRPr="00B646C4" w:rsidRDefault="00111B74">
            <w:pPr>
              <w:pStyle w:val="EstilodeTabela2A"/>
              <w:jc w:val="center"/>
            </w:pPr>
            <w:r w:rsidRPr="00B646C4">
              <w:rPr>
                <w:rFonts w:ascii="Times New Roman" w:hAnsi="Times New Roman"/>
                <w:sz w:val="24"/>
                <w:szCs w:val="24"/>
              </w:rPr>
              <w:t>40,608</w:t>
            </w:r>
          </w:p>
        </w:tc>
        <w:tc>
          <w:tcPr>
            <w:tcW w:w="1765" w:type="dxa"/>
            <w:tcBorders>
              <w:top w:val="single" w:sz="2"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3A21ABB6" w14:textId="77777777" w:rsidR="008F7A0F" w:rsidRPr="00B646C4" w:rsidRDefault="00111B74">
            <w:pPr>
              <w:pStyle w:val="EstilodeTabela2A"/>
              <w:jc w:val="center"/>
            </w:pPr>
            <w:r w:rsidRPr="00B646C4">
              <w:rPr>
                <w:rFonts w:ascii="Times New Roman" w:hAnsi="Times New Roman"/>
                <w:sz w:val="24"/>
                <w:szCs w:val="24"/>
              </w:rPr>
              <w:t>1,291.80</w:t>
            </w:r>
          </w:p>
        </w:tc>
        <w:tc>
          <w:tcPr>
            <w:tcW w:w="1665" w:type="dxa"/>
            <w:tcBorders>
              <w:top w:val="single" w:sz="2" w:space="0" w:color="000000"/>
              <w:left w:val="single" w:sz="2" w:space="0" w:color="FEFEFE"/>
              <w:bottom w:val="single" w:sz="2" w:space="0" w:color="000000"/>
              <w:right w:val="single" w:sz="2" w:space="0" w:color="FEFEFE"/>
            </w:tcBorders>
            <w:shd w:val="clear" w:color="auto" w:fill="FEFEFE"/>
            <w:tcMar>
              <w:top w:w="80" w:type="dxa"/>
              <w:left w:w="80" w:type="dxa"/>
              <w:bottom w:w="80" w:type="dxa"/>
              <w:right w:w="80" w:type="dxa"/>
            </w:tcMar>
            <w:vAlign w:val="center"/>
          </w:tcPr>
          <w:p w14:paraId="38C53DAF" w14:textId="77777777" w:rsidR="008F7A0F" w:rsidRPr="00B646C4" w:rsidRDefault="00111B74">
            <w:pPr>
              <w:pStyle w:val="EstilodeTabela2A"/>
              <w:jc w:val="center"/>
            </w:pPr>
            <w:r w:rsidRPr="00B646C4">
              <w:rPr>
                <w:rFonts w:ascii="Times New Roman" w:hAnsi="Times New Roman"/>
                <w:sz w:val="24"/>
                <w:szCs w:val="24"/>
              </w:rPr>
              <w:t>29.2</w:t>
            </w:r>
          </w:p>
        </w:tc>
      </w:tr>
    </w:tbl>
    <w:p w14:paraId="7D9677FA" w14:textId="77777777" w:rsidR="008F7A0F" w:rsidRPr="00B646C4" w:rsidRDefault="00111B74">
      <w:pPr>
        <w:pStyle w:val="PadroA"/>
        <w:jc w:val="both"/>
        <w:rPr>
          <w:rFonts w:ascii="Times" w:eastAsia="Times" w:hAnsi="Times" w:cs="Times"/>
          <w:sz w:val="20"/>
          <w:szCs w:val="20"/>
        </w:rPr>
      </w:pPr>
      <w:r w:rsidRPr="00B646C4">
        <w:rPr>
          <w:rFonts w:ascii="Times New Roman" w:hAnsi="Times New Roman"/>
          <w:sz w:val="20"/>
          <w:szCs w:val="20"/>
        </w:rPr>
        <w:t>Source: The authors (2021). Data from the SUS Hospital Information System (SIH/SUS)</w:t>
      </w:r>
    </w:p>
    <w:p w14:paraId="1085A523" w14:textId="77777777" w:rsidR="008F7A0F" w:rsidRPr="00E77F63" w:rsidRDefault="008F7A0F">
      <w:pPr>
        <w:pStyle w:val="PadroA"/>
        <w:spacing w:line="480" w:lineRule="auto"/>
        <w:ind w:firstLine="709"/>
        <w:jc w:val="both"/>
        <w:rPr>
          <w:rFonts w:ascii="Times New Roman" w:eastAsia="Times New Roman" w:hAnsi="Times New Roman" w:cs="Times New Roman"/>
          <w:sz w:val="24"/>
          <w:szCs w:val="24"/>
        </w:rPr>
      </w:pPr>
    </w:p>
    <w:p w14:paraId="721CF82B" w14:textId="745920FA"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 xml:space="preserve">In the period from 2008 to 2020, there was a reduction in the number of hospitalizations in all age groups, more expressively among adults (20-59 years old), with </w:t>
      </w:r>
      <w:r w:rsidR="00E77F63" w:rsidRPr="00B646C4">
        <w:rPr>
          <w:rFonts w:ascii="Times New Roman" w:hAnsi="Times New Roman"/>
          <w:sz w:val="24"/>
          <w:szCs w:val="24"/>
        </w:rPr>
        <w:t>an</w:t>
      </w:r>
      <w:r w:rsidRPr="00B646C4">
        <w:rPr>
          <w:rFonts w:ascii="Times New Roman" w:hAnsi="Times New Roman"/>
          <w:sz w:val="24"/>
          <w:szCs w:val="24"/>
        </w:rPr>
        <w:t xml:space="preserve"> approximate 60% drop in the number of cases, when comparing the extremes of the time </w:t>
      </w:r>
      <w:r w:rsidRPr="00B646C4">
        <w:rPr>
          <w:rFonts w:ascii="Times New Roman" w:hAnsi="Times New Roman"/>
          <w:sz w:val="24"/>
          <w:szCs w:val="24"/>
        </w:rPr>
        <w:lastRenderedPageBreak/>
        <w:t>series (Graph 1). Among adults, the psychiatric hospitalizations corresponded to 38,370 (94.4%) of the total during the period; and, in 2020, they accounted for 39.5% of the number recorded in 2008.</w:t>
      </w:r>
    </w:p>
    <w:p w14:paraId="09A5E205" w14:textId="665C66B5" w:rsidR="008F7A0F" w:rsidRPr="00B646C4" w:rsidRDefault="00111B74">
      <w:pPr>
        <w:pStyle w:val="PadroA"/>
        <w:jc w:val="center"/>
        <w:rPr>
          <w:rFonts w:ascii="Times New Roman" w:eastAsia="Times New Roman" w:hAnsi="Times New Roman" w:cs="Times New Roman"/>
          <w:sz w:val="24"/>
          <w:szCs w:val="24"/>
        </w:rPr>
      </w:pPr>
      <w:r w:rsidRPr="00B646C4">
        <w:rPr>
          <w:rFonts w:ascii="Times New Roman" w:eastAsia="Times New Roman" w:hAnsi="Times New Roman" w:cs="Times New Roman"/>
          <w:noProof/>
          <w:sz w:val="24"/>
          <w:szCs w:val="24"/>
          <w:lang w:val="es-AR" w:eastAsia="es-AR"/>
        </w:rPr>
        <w:drawing>
          <wp:inline distT="0" distB="0" distL="0" distR="0" wp14:anchorId="5467FCAE" wp14:editId="1097B828">
            <wp:extent cx="4946400" cy="6573600"/>
            <wp:effectExtent l="0" t="0" r="6985" b="0"/>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6400" cy="6573600"/>
                    </a:xfrm>
                    <a:prstGeom prst="rect">
                      <a:avLst/>
                    </a:prstGeom>
                    <a:ln w="12700" cap="flat">
                      <a:noFill/>
                      <a:miter lim="400000"/>
                    </a:ln>
                    <a:effectLst/>
                  </pic:spPr>
                </pic:pic>
              </a:graphicData>
            </a:graphic>
          </wp:inline>
        </w:drawing>
      </w:r>
    </w:p>
    <w:p w14:paraId="3BDC97B5" w14:textId="77777777" w:rsidR="008F7A0F" w:rsidRPr="00B646C4" w:rsidRDefault="00111B74">
      <w:pPr>
        <w:pStyle w:val="PadroA"/>
        <w:jc w:val="both"/>
        <w:rPr>
          <w:rFonts w:ascii="Times New Roman" w:eastAsia="Times New Roman" w:hAnsi="Times New Roman" w:cs="Times New Roman"/>
          <w:sz w:val="24"/>
          <w:szCs w:val="24"/>
        </w:rPr>
      </w:pPr>
      <w:r w:rsidRPr="00B646C4">
        <w:rPr>
          <w:rFonts w:ascii="Times New Roman" w:hAnsi="Times New Roman"/>
          <w:sz w:val="24"/>
          <w:szCs w:val="24"/>
        </w:rPr>
        <w:t>Graph 1 - Number of hospitalizations related to mental/behavioral disorders according to age group. Piauí, PI, Brazil, 2008 - 2020</w:t>
      </w:r>
    </w:p>
    <w:p w14:paraId="6C805A8F" w14:textId="2780806B" w:rsidR="008F7A0F" w:rsidRPr="00B646C4" w:rsidRDefault="00111B74" w:rsidP="00B12F7F">
      <w:pPr>
        <w:pStyle w:val="PadroA"/>
        <w:jc w:val="both"/>
        <w:rPr>
          <w:rFonts w:ascii="Times New Roman" w:eastAsia="Times New Roman" w:hAnsi="Times New Roman" w:cs="Times New Roman"/>
          <w:sz w:val="24"/>
          <w:szCs w:val="24"/>
        </w:rPr>
      </w:pPr>
      <w:r w:rsidRPr="00B646C4">
        <w:rPr>
          <w:rFonts w:ascii="Times New Roman" w:hAnsi="Times New Roman"/>
          <w:sz w:val="20"/>
          <w:szCs w:val="20"/>
        </w:rPr>
        <w:t>Source: The authors (2021). Data from the SUS Hospital Information System (SIH/SUS)</w:t>
      </w:r>
    </w:p>
    <w:p w14:paraId="2C71C64C" w14:textId="388EDCFE" w:rsidR="008F7A0F" w:rsidRPr="00B646C4" w:rsidRDefault="00111B74">
      <w:pPr>
        <w:pStyle w:val="PadroA"/>
        <w:jc w:val="both"/>
        <w:rPr>
          <w:rFonts w:ascii="Times New Roman" w:eastAsia="Times New Roman" w:hAnsi="Times New Roman" w:cs="Times New Roman"/>
          <w:sz w:val="20"/>
          <w:szCs w:val="20"/>
        </w:rPr>
      </w:pPr>
      <w:r w:rsidRPr="00B646C4">
        <w:rPr>
          <w:noProof/>
          <w:lang w:val="es-AR" w:eastAsia="es-AR"/>
        </w:rPr>
        <w:lastRenderedPageBreak/>
        <w:drawing>
          <wp:inline distT="0" distB="0" distL="0" distR="0" wp14:anchorId="4C9EEA14" wp14:editId="5BC0D224">
            <wp:extent cx="5756400" cy="1976400"/>
            <wp:effectExtent l="0" t="0" r="0" b="508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400" cy="1976400"/>
                    </a:xfrm>
                    <a:prstGeom prst="rect">
                      <a:avLst/>
                    </a:prstGeom>
                    <a:ln w="12700" cap="flat">
                      <a:noFill/>
                      <a:miter lim="400000"/>
                    </a:ln>
                    <a:effectLst/>
                  </pic:spPr>
                </pic:pic>
              </a:graphicData>
            </a:graphic>
          </wp:inline>
        </w:drawing>
      </w:r>
    </w:p>
    <w:p w14:paraId="23D10B4E" w14:textId="77777777" w:rsidR="008F7A0F" w:rsidRPr="00B646C4" w:rsidRDefault="008F7A0F">
      <w:pPr>
        <w:pStyle w:val="PadroA"/>
        <w:jc w:val="both"/>
        <w:rPr>
          <w:rFonts w:ascii="Times New Roman" w:eastAsia="Times New Roman" w:hAnsi="Times New Roman" w:cs="Times New Roman"/>
          <w:sz w:val="20"/>
          <w:szCs w:val="20"/>
        </w:rPr>
      </w:pPr>
    </w:p>
    <w:p w14:paraId="25AB83EF" w14:textId="77777777" w:rsidR="008F7A0F" w:rsidRPr="00B646C4" w:rsidRDefault="00111B74">
      <w:pPr>
        <w:pStyle w:val="PadroA"/>
        <w:jc w:val="both"/>
        <w:rPr>
          <w:rFonts w:ascii="Times New Roman" w:eastAsia="Times New Roman" w:hAnsi="Times New Roman" w:cs="Times New Roman"/>
          <w:sz w:val="24"/>
          <w:szCs w:val="24"/>
        </w:rPr>
      </w:pPr>
      <w:r w:rsidRPr="00B646C4">
        <w:rPr>
          <w:rFonts w:ascii="Times New Roman" w:hAnsi="Times New Roman"/>
          <w:sz w:val="24"/>
          <w:szCs w:val="24"/>
        </w:rPr>
        <w:t>Graph 2 - Number of hospitalizations related to mental/behavioral disorders according to gender. Piauí, PI, Brazil, 2008 - 2020</w:t>
      </w:r>
    </w:p>
    <w:p w14:paraId="3FF11E13" w14:textId="77777777" w:rsidR="008F7A0F" w:rsidRPr="00B646C4" w:rsidRDefault="00111B74">
      <w:pPr>
        <w:pStyle w:val="PadroA"/>
        <w:jc w:val="both"/>
        <w:rPr>
          <w:rFonts w:ascii="Times" w:eastAsia="Times" w:hAnsi="Times" w:cs="Times"/>
          <w:sz w:val="20"/>
          <w:szCs w:val="20"/>
        </w:rPr>
      </w:pPr>
      <w:r w:rsidRPr="00B646C4">
        <w:rPr>
          <w:rFonts w:ascii="Times New Roman" w:hAnsi="Times New Roman"/>
          <w:sz w:val="20"/>
          <w:szCs w:val="20"/>
        </w:rPr>
        <w:t>Source: The authors (2021). Data from the SUS Hospital Information System (SIH/SUS)</w:t>
      </w:r>
    </w:p>
    <w:p w14:paraId="201B85DD" w14:textId="77777777" w:rsidR="008F7A0F" w:rsidRPr="00B646C4" w:rsidRDefault="008F7A0F">
      <w:pPr>
        <w:pStyle w:val="PadroA"/>
        <w:spacing w:line="480" w:lineRule="auto"/>
        <w:ind w:firstLine="709"/>
        <w:jc w:val="both"/>
        <w:rPr>
          <w:rFonts w:ascii="Times New Roman" w:eastAsia="Times New Roman" w:hAnsi="Times New Roman" w:cs="Times New Roman"/>
          <w:sz w:val="24"/>
          <w:szCs w:val="24"/>
        </w:rPr>
      </w:pPr>
    </w:p>
    <w:p w14:paraId="5AEB2349" w14:textId="41A0DDAD" w:rsidR="008F7A0F" w:rsidRPr="00B646C4" w:rsidRDefault="00111B7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color w:val="FF0000"/>
          <w:u w:color="FF0000"/>
          <w:shd w:val="clear" w:color="auto" w:fill="00FA92"/>
        </w:rPr>
      </w:pPr>
      <w:r w:rsidRPr="00B646C4">
        <w:t>The number of hospitalizations also decreased as the years went by, regardless of gender. The number of hospitalizations among men was higher in the entire historical series: 25,354 (62.4%) corresponded to the male gender. The difference was higher in 2010 (33.6%) and lower in 2014 (12.3%) (Graph 2). Table 1 and Graphs 1 and 2 show an increase in the number of hospitalizations from 2016 to 2019, a behavior that differs from the drop recorded from 2009.</w:t>
      </w:r>
    </w:p>
    <w:p w14:paraId="09B5839C" w14:textId="77777777" w:rsidR="008F7A0F" w:rsidRPr="00B646C4" w:rsidRDefault="008F7A0F">
      <w:pPr>
        <w:pStyle w:val="CorpoA"/>
        <w:rPr>
          <w:b/>
          <w:bCs/>
        </w:rPr>
      </w:pPr>
    </w:p>
    <w:p w14:paraId="1386B438" w14:textId="77777777" w:rsidR="008F7A0F" w:rsidRPr="00B646C4" w:rsidRDefault="00111B74">
      <w:pPr>
        <w:pStyle w:val="CorpoA"/>
        <w:rPr>
          <w:b/>
          <w:bCs/>
        </w:rPr>
      </w:pPr>
      <w:r w:rsidRPr="00B646C4">
        <w:rPr>
          <w:b/>
          <w:bCs/>
        </w:rPr>
        <w:t>DISCUSSION</w:t>
      </w:r>
    </w:p>
    <w:p w14:paraId="31BC72D4" w14:textId="3184C271" w:rsidR="008F7A0F" w:rsidRPr="00B646C4" w:rsidRDefault="00111B74" w:rsidP="002D5B09">
      <w:pPr>
        <w:pStyle w:val="CorpoA"/>
        <w:ind w:firstLine="709"/>
        <w:rPr>
          <w:shd w:val="clear" w:color="auto" w:fill="FFFFFF"/>
        </w:rPr>
      </w:pPr>
      <w:r w:rsidRPr="00B646C4">
        <w:t>According to the World Health Organization (WHO), in 2011, the prevalence of mental disorders in the world population was around 10%, exceeding 25% when considering episodes throughout life</w:t>
      </w:r>
      <w:r w:rsidRPr="00B646C4">
        <w:rPr>
          <w:vertAlign w:val="superscript"/>
        </w:rPr>
        <w:t>8</w:t>
      </w:r>
      <w:r w:rsidRPr="00B646C4">
        <w:t>. More frequent hospitalizations in the capital or in reference cities of the macro-region are expected data and corroborate the findings of a study</w:t>
      </w:r>
      <w:r w:rsidRPr="00B646C4">
        <w:rPr>
          <w:vertAlign w:val="superscript"/>
        </w:rPr>
        <w:t>9</w:t>
      </w:r>
      <w:r w:rsidRPr="00B646C4">
        <w:t xml:space="preserve"> carried out in Ceará: most of the hospitalizations occur in the capital city (87.2%) and 12.8% are distributed across other regions of the state. </w:t>
      </w:r>
    </w:p>
    <w:p w14:paraId="258E087B" w14:textId="1A5309C3"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shd w:val="clear" w:color="auto" w:fill="FFFFFF"/>
        </w:rPr>
        <w:lastRenderedPageBreak/>
        <w:t>It</w:t>
      </w:r>
      <w:r w:rsidRPr="00B646C4">
        <w:rPr>
          <w:rFonts w:ascii="Times New Roman" w:hAnsi="Times New Roman"/>
          <w:sz w:val="24"/>
          <w:szCs w:val="24"/>
        </w:rPr>
        <w:t xml:space="preserve"> is a reasonable assumption that the increase in primary care offer and coverage would allow a greater number of users in psychological distress to have access to health and treatment services and, less frequently, to be referred for hospitalization</w:t>
      </w:r>
      <w:r w:rsidRPr="00B646C4">
        <w:rPr>
          <w:rFonts w:ascii="Times New Roman" w:hAnsi="Times New Roman"/>
          <w:sz w:val="24"/>
          <w:szCs w:val="24"/>
          <w:vertAlign w:val="superscript"/>
        </w:rPr>
        <w:t>10</w:t>
      </w:r>
      <w:r w:rsidRPr="00B646C4">
        <w:rPr>
          <w:rFonts w:ascii="Times New Roman" w:hAnsi="Times New Roman"/>
          <w:sz w:val="24"/>
          <w:szCs w:val="24"/>
        </w:rPr>
        <w:t>. In some clinical conditions, hospitalization can also be considered necessary for the remission of symptoms and for health improvements, with the hospital considered as a place that provides comprehensive care, similar to that offered in community-based services, although in an intensive way, due to the users' need</w:t>
      </w:r>
      <w:r w:rsidRPr="00B646C4">
        <w:rPr>
          <w:rFonts w:ascii="Times New Roman" w:hAnsi="Times New Roman"/>
          <w:sz w:val="24"/>
          <w:szCs w:val="24"/>
          <w:vertAlign w:val="superscript"/>
        </w:rPr>
        <w:t>11</w:t>
      </w:r>
      <w:r w:rsidRPr="00B646C4">
        <w:rPr>
          <w:rFonts w:ascii="Times New Roman" w:hAnsi="Times New Roman"/>
          <w:sz w:val="24"/>
          <w:szCs w:val="24"/>
        </w:rPr>
        <w:t xml:space="preserve">. </w:t>
      </w:r>
    </w:p>
    <w:p w14:paraId="54E82BE0" w14:textId="77777777"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The increase in the number of hospitalizations can be related to a phenomenon called “revolving door”</w:t>
      </w:r>
      <w:r w:rsidRPr="00B646C4">
        <w:rPr>
          <w:rFonts w:ascii="Times New Roman" w:hAnsi="Times New Roman"/>
          <w:sz w:val="24"/>
          <w:szCs w:val="24"/>
          <w:vertAlign w:val="superscript"/>
        </w:rPr>
        <w:t>12</w:t>
      </w:r>
      <w:r w:rsidRPr="00B646C4">
        <w:rPr>
          <w:rFonts w:ascii="Times New Roman" w:hAnsi="Times New Roman"/>
          <w:sz w:val="24"/>
          <w:szCs w:val="24"/>
        </w:rPr>
        <w:t>, which occurs due to frequent readmissions, related to lack or insufficiency of substitutive and community services and to the difficulty adhering to drug and/or outpatient treatments, especially after hospitalization, which is sometimes the gateway to mental health care. This is a reflection of the weakness of the health systems to coordinate the assistance to be provided and offer support in the transitions between hospitals and other services</w:t>
      </w:r>
      <w:r w:rsidRPr="00B646C4">
        <w:rPr>
          <w:rFonts w:ascii="Times New Roman" w:hAnsi="Times New Roman"/>
          <w:sz w:val="24"/>
          <w:szCs w:val="24"/>
          <w:vertAlign w:val="superscript"/>
        </w:rPr>
        <w:t>13</w:t>
      </w:r>
      <w:r w:rsidRPr="00B646C4">
        <w:rPr>
          <w:rFonts w:ascii="Times New Roman" w:hAnsi="Times New Roman"/>
          <w:sz w:val="24"/>
          <w:szCs w:val="24"/>
        </w:rPr>
        <w:t>.</w:t>
      </w:r>
    </w:p>
    <w:p w14:paraId="69E81E5E" w14:textId="77777777"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Even in other regions of the country, the mean hospitalization cost and time are similar to those found in Piauí. In Florianópolis, the cost to keep a patient hospitalized is R$ 1,227.06</w:t>
      </w:r>
      <w:r w:rsidRPr="00B646C4">
        <w:rPr>
          <w:rFonts w:ascii="Times New Roman" w:hAnsi="Times New Roman"/>
          <w:sz w:val="24"/>
          <w:szCs w:val="24"/>
          <w:vertAlign w:val="superscript"/>
        </w:rPr>
        <w:t>14</w:t>
      </w:r>
      <w:r w:rsidRPr="00B646C4">
        <w:rPr>
          <w:rFonts w:ascii="Times New Roman" w:hAnsi="Times New Roman"/>
          <w:sz w:val="24"/>
          <w:szCs w:val="24"/>
        </w:rPr>
        <w:t xml:space="preserve"> and in Rio Grande do Sul, the mean hospitalization time was 28.1 days in 2001</w:t>
      </w:r>
      <w:r w:rsidRPr="00B646C4">
        <w:rPr>
          <w:rFonts w:ascii="Times New Roman" w:hAnsi="Times New Roman"/>
          <w:sz w:val="24"/>
          <w:szCs w:val="24"/>
          <w:vertAlign w:val="superscript"/>
        </w:rPr>
        <w:t>15</w:t>
      </w:r>
      <w:r w:rsidRPr="00B646C4">
        <w:rPr>
          <w:rFonts w:ascii="Times New Roman" w:hAnsi="Times New Roman"/>
          <w:sz w:val="24"/>
          <w:szCs w:val="24"/>
        </w:rPr>
        <w:t>. In the capitals, the out-of-hospital care network is comprehensive and this favors the hospital discharge process, providing more safety to the patient's transition to external services</w:t>
      </w:r>
      <w:r w:rsidRPr="00B646C4">
        <w:rPr>
          <w:rFonts w:ascii="Times New Roman" w:hAnsi="Times New Roman"/>
          <w:sz w:val="24"/>
          <w:szCs w:val="24"/>
          <w:vertAlign w:val="superscript"/>
        </w:rPr>
        <w:t>16</w:t>
      </w:r>
      <w:r w:rsidRPr="00B646C4">
        <w:rPr>
          <w:rFonts w:ascii="Times New Roman" w:hAnsi="Times New Roman"/>
          <w:sz w:val="24"/>
          <w:szCs w:val="24"/>
        </w:rPr>
        <w:t xml:space="preserve">. The RAPS networks from Teresina and Parnaíba have more care-related equipment than Picos, which can explain the shorter hospitalization periods. It is verified that out-of-hospital care networks with limited coverage imply longer psychiatric hospitalization times. </w:t>
      </w:r>
    </w:p>
    <w:p w14:paraId="08E1EEDE" w14:textId="42AD23AF"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lastRenderedPageBreak/>
        <w:t>The fact that hospitalization is used as a gateway to care can be related to the culture that has been established about hospitalization as a traditional and resolute treatment for mental disorders, with the hospital-centered logic prevailing, based on the explanatory model of the biomedical -disease process. There is a frequent discourse among users and family members in which hospitalization appears as the best treatment modality, in addition to reports of lack of knowledge about other RAPS services</w:t>
      </w:r>
      <w:r w:rsidRPr="00B646C4">
        <w:rPr>
          <w:rFonts w:ascii="Times New Roman" w:hAnsi="Times New Roman"/>
          <w:sz w:val="24"/>
          <w:szCs w:val="24"/>
          <w:vertAlign w:val="superscript"/>
        </w:rPr>
        <w:t>13</w:t>
      </w:r>
      <w:r w:rsidRPr="00B646C4">
        <w:rPr>
          <w:rFonts w:ascii="Times New Roman" w:hAnsi="Times New Roman"/>
          <w:sz w:val="24"/>
          <w:szCs w:val="24"/>
        </w:rPr>
        <w:t>.</w:t>
      </w:r>
    </w:p>
    <w:p w14:paraId="5E9571A5" w14:textId="7861A6BE"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The results point to the need to value and intensify care based on the biopsychosocial model. Although the absolute cost of hospital and community care is sometimes similar, the range of possible interventions in primary care carried out in the community is effective both in maintaining these people in society and in social reintegration, which suggests that these interventions are highly cost-effective when compared to segregation in the hospital context</w:t>
      </w:r>
      <w:r w:rsidRPr="00B646C4">
        <w:rPr>
          <w:rFonts w:ascii="Times New Roman" w:hAnsi="Times New Roman"/>
          <w:sz w:val="24"/>
          <w:szCs w:val="24"/>
          <w:vertAlign w:val="superscript"/>
        </w:rPr>
        <w:t>17</w:t>
      </w:r>
      <w:r w:rsidRPr="00B646C4">
        <w:rPr>
          <w:rFonts w:ascii="Times New Roman" w:hAnsi="Times New Roman"/>
          <w:sz w:val="24"/>
          <w:szCs w:val="24"/>
        </w:rPr>
        <w:t>.</w:t>
      </w:r>
    </w:p>
    <w:p w14:paraId="2635AD38" w14:textId="77777777"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 xml:space="preserve">The reduction in the number of hospitalizations in the state from 2009 to 2012 is a reflection of the closing, in 2009, of an important psychiatric hospital: </w:t>
      </w:r>
      <w:r w:rsidRPr="00B646C4">
        <w:rPr>
          <w:rFonts w:ascii="Times New Roman" w:hAnsi="Times New Roman"/>
          <w:i/>
          <w:sz w:val="24"/>
          <w:szCs w:val="24"/>
        </w:rPr>
        <w:t>Sanatório Meduna</w:t>
      </w:r>
      <w:r w:rsidRPr="00B646C4">
        <w:rPr>
          <w:rFonts w:ascii="Times New Roman" w:hAnsi="Times New Roman"/>
          <w:sz w:val="24"/>
          <w:szCs w:val="24"/>
        </w:rPr>
        <w:t>, located in the capital city. Prior to the official communication of the closure to the Public Ministry, there was a reduction in the institution's beds, which led to collapse of its operation. Even with the reduction in the number of beds, the RAPS from the capital city lacked due conditions to offer the necessary support to the patients that remained hospitalized</w:t>
      </w:r>
      <w:r w:rsidRPr="00B646C4">
        <w:rPr>
          <w:rFonts w:ascii="Times New Roman" w:hAnsi="Times New Roman"/>
          <w:sz w:val="24"/>
          <w:szCs w:val="24"/>
          <w:vertAlign w:val="superscript"/>
        </w:rPr>
        <w:t>18</w:t>
      </w:r>
      <w:r w:rsidRPr="00B646C4">
        <w:rPr>
          <w:rFonts w:ascii="Times New Roman" w:hAnsi="Times New Roman"/>
          <w:sz w:val="24"/>
          <w:szCs w:val="24"/>
        </w:rPr>
        <w:t>.</w:t>
      </w:r>
    </w:p>
    <w:p w14:paraId="744314DB" w14:textId="65E197AD"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 xml:space="preserve">In 2010, commitments were signed for the maintenance of study and municipal subsidies to </w:t>
      </w:r>
      <w:r w:rsidRPr="00B646C4">
        <w:rPr>
          <w:rFonts w:ascii="Times New Roman" w:hAnsi="Times New Roman"/>
          <w:i/>
          <w:sz w:val="24"/>
          <w:szCs w:val="24"/>
        </w:rPr>
        <w:t>Sanatório Meduna</w:t>
      </w:r>
      <w:r w:rsidRPr="00B646C4">
        <w:rPr>
          <w:rFonts w:ascii="Times New Roman" w:hAnsi="Times New Roman"/>
          <w:sz w:val="24"/>
          <w:szCs w:val="24"/>
        </w:rPr>
        <w:t xml:space="preserve">, implementation of three types of CAPS and two Therapeutic Residency Services, creation of a municipal mental health management, opening of a referral service for alcohol and other drugs at the Mocambinho </w:t>
      </w:r>
      <w:r w:rsidR="00E77F63" w:rsidRPr="00B646C4">
        <w:rPr>
          <w:rFonts w:ascii="Times New Roman" w:hAnsi="Times New Roman"/>
          <w:sz w:val="24"/>
          <w:szCs w:val="24"/>
        </w:rPr>
        <w:t>Hospital</w:t>
      </w:r>
      <w:r w:rsidRPr="00B646C4">
        <w:rPr>
          <w:rFonts w:ascii="Times New Roman" w:hAnsi="Times New Roman"/>
          <w:sz w:val="24"/>
          <w:szCs w:val="24"/>
        </w:rPr>
        <w:t xml:space="preserve"> (capital), opening of beds in general hospitals for patients with chemical dependence, creation of a ward for crisis care at the Areolino de Abreu Hospital, and opening of a CAPSad in Floriano (inland of the state). </w:t>
      </w:r>
      <w:r w:rsidRPr="00B646C4">
        <w:rPr>
          <w:rFonts w:ascii="Times New Roman" w:hAnsi="Times New Roman"/>
          <w:sz w:val="24"/>
          <w:szCs w:val="24"/>
        </w:rPr>
        <w:lastRenderedPageBreak/>
        <w:t xml:space="preserve">Thus, closure of </w:t>
      </w:r>
      <w:r w:rsidRPr="00B646C4">
        <w:rPr>
          <w:rFonts w:ascii="Times New Roman" w:hAnsi="Times New Roman"/>
          <w:i/>
          <w:sz w:val="24"/>
          <w:szCs w:val="24"/>
        </w:rPr>
        <w:t>Sanatório Meduna</w:t>
      </w:r>
      <w:r w:rsidRPr="00B646C4">
        <w:rPr>
          <w:rFonts w:ascii="Times New Roman" w:hAnsi="Times New Roman"/>
          <w:sz w:val="24"/>
          <w:szCs w:val="24"/>
        </w:rPr>
        <w:t>, with a previous reduction in the number of beds, and the implementation of these strategic actions contributed to the subsequent strengthening of the RAPS in the capital city, which accounts for almost all the psychiatric hospitalizations, as well as a drastic reduction in the number of hospitalizations in the period from 2009 to 2012</w:t>
      </w:r>
      <w:r w:rsidRPr="00B646C4">
        <w:rPr>
          <w:rFonts w:ascii="Times New Roman" w:hAnsi="Times New Roman"/>
          <w:sz w:val="24"/>
          <w:szCs w:val="24"/>
          <w:vertAlign w:val="superscript"/>
        </w:rPr>
        <w:t>18</w:t>
      </w:r>
      <w:r w:rsidRPr="00B646C4">
        <w:rPr>
          <w:rFonts w:ascii="Times New Roman" w:hAnsi="Times New Roman"/>
          <w:sz w:val="24"/>
          <w:szCs w:val="24"/>
        </w:rPr>
        <w:t>.</w:t>
      </w:r>
    </w:p>
    <w:p w14:paraId="4C841BC1" w14:textId="77777777" w:rsidR="008F7A0F" w:rsidRPr="00B646C4" w:rsidRDefault="00111B74">
      <w:pPr>
        <w:pStyle w:val="PadroA"/>
        <w:spacing w:line="480" w:lineRule="auto"/>
        <w:ind w:firstLine="709"/>
        <w:jc w:val="both"/>
        <w:rPr>
          <w:rFonts w:ascii="Times New Roman" w:eastAsia="Times New Roman" w:hAnsi="Times New Roman" w:cs="Times New Roman"/>
          <w:sz w:val="24"/>
          <w:szCs w:val="24"/>
          <w:vertAlign w:val="superscript"/>
        </w:rPr>
      </w:pPr>
      <w:r w:rsidRPr="00B646C4">
        <w:rPr>
          <w:rFonts w:ascii="Times New Roman" w:hAnsi="Times New Roman"/>
          <w:sz w:val="24"/>
          <w:szCs w:val="24"/>
        </w:rPr>
        <w:t>In relation to the number of hospitalizations, the literature points to a higher frequency among users with schizophrenia as a result of the distress generated by the symptoms</w:t>
      </w:r>
      <w:r w:rsidRPr="00B646C4">
        <w:rPr>
          <w:rFonts w:ascii="Times New Roman" w:hAnsi="Times New Roman"/>
          <w:sz w:val="24"/>
          <w:szCs w:val="24"/>
          <w:vertAlign w:val="superscript"/>
        </w:rPr>
        <w:t>19</w:t>
      </w:r>
      <w:r w:rsidRPr="00B646C4">
        <w:rPr>
          <w:rFonts w:ascii="Times New Roman" w:hAnsi="Times New Roman"/>
          <w:sz w:val="24"/>
          <w:szCs w:val="24"/>
        </w:rPr>
        <w:t>. Such distress makes some users choose psychiatric hospitalizations, seeking some way to alleviate it. Others consider hospitalization as a way to distance from some addictions and to contain their aggressiveness</w:t>
      </w:r>
      <w:r w:rsidRPr="00B646C4">
        <w:rPr>
          <w:rFonts w:ascii="Times New Roman" w:hAnsi="Times New Roman"/>
          <w:sz w:val="24"/>
          <w:szCs w:val="24"/>
          <w:vertAlign w:val="superscript"/>
        </w:rPr>
        <w:t>11,13,20</w:t>
      </w:r>
      <w:r w:rsidRPr="00B646C4">
        <w:rPr>
          <w:rFonts w:ascii="Times New Roman" w:hAnsi="Times New Roman"/>
          <w:sz w:val="24"/>
          <w:szCs w:val="24"/>
        </w:rPr>
        <w:t>.</w:t>
      </w:r>
    </w:p>
    <w:p w14:paraId="0329A13F" w14:textId="77777777"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Dementia syndromes have a high cost for monitoring, as they involve expenditures on medication and hospitalizations, being the disorder with the highest psychiatric mortality rate and the fifth cause of hospitalization</w:t>
      </w:r>
      <w:r w:rsidRPr="00B646C4">
        <w:rPr>
          <w:rFonts w:ascii="Times New Roman" w:hAnsi="Times New Roman"/>
          <w:sz w:val="24"/>
          <w:szCs w:val="24"/>
          <w:vertAlign w:val="superscript"/>
        </w:rPr>
        <w:t>21</w:t>
      </w:r>
      <w:r w:rsidRPr="00B646C4">
        <w:rPr>
          <w:rFonts w:ascii="Times New Roman" w:hAnsi="Times New Roman"/>
          <w:sz w:val="24"/>
          <w:szCs w:val="24"/>
        </w:rPr>
        <w:t>. The hospitalization cost in psychiatric institutions is 41% higher than the actual cost for the same procedure in the other hospitals</w:t>
      </w:r>
      <w:r w:rsidRPr="00B646C4">
        <w:rPr>
          <w:rFonts w:ascii="Times New Roman" w:hAnsi="Times New Roman"/>
          <w:sz w:val="24"/>
          <w:szCs w:val="24"/>
          <w:vertAlign w:val="superscript"/>
        </w:rPr>
        <w:t>14</w:t>
      </w:r>
      <w:r w:rsidRPr="00B646C4">
        <w:rPr>
          <w:rFonts w:ascii="Times New Roman" w:hAnsi="Times New Roman"/>
          <w:sz w:val="24"/>
          <w:szCs w:val="24"/>
        </w:rPr>
        <w:t>. There is also prolonged hospitalization time in the institution, as is the case of patients with the ICD-10 code indicative of mental retardation.</w:t>
      </w:r>
    </w:p>
    <w:p w14:paraId="6F1B911A" w14:textId="77777777"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It is observed that, as of 2012 (publication of the Ordinance that established the RAPS), the frequency of hospitalizations presents negligible alterations among adults until the last year of the historical series. One of the reasons for the discontinuity in the reduction trend (with the exception of 2016-2019) is the difficulty inserting mental health in primary care. On certain occasions, the Family Health teams are unprepared to meet mental health demands and find it difficult to collaborate with the reduction in the number of hospitalizations resulting from mental disorders</w:t>
      </w:r>
      <w:r w:rsidRPr="00B646C4">
        <w:rPr>
          <w:rFonts w:ascii="Times New Roman" w:hAnsi="Times New Roman"/>
          <w:sz w:val="24"/>
          <w:szCs w:val="24"/>
          <w:vertAlign w:val="superscript"/>
        </w:rPr>
        <w:t>21</w:t>
      </w:r>
      <w:r w:rsidRPr="00B646C4">
        <w:rPr>
          <w:rFonts w:ascii="Times New Roman" w:hAnsi="Times New Roman"/>
          <w:sz w:val="24"/>
          <w:szCs w:val="24"/>
        </w:rPr>
        <w:t>.</w:t>
      </w:r>
    </w:p>
    <w:p w14:paraId="0F9A7A87" w14:textId="660970C4" w:rsidR="008F7A0F" w:rsidRPr="00B646C4" w:rsidRDefault="00111B74">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lastRenderedPageBreak/>
        <w:t>Not only in Piauí but also throughout Brazil, hospitalizations due to mental/behavioral disorders are more frequent among men</w:t>
      </w:r>
      <w:r w:rsidRPr="00B646C4">
        <w:rPr>
          <w:rFonts w:ascii="Times New Roman" w:hAnsi="Times New Roman"/>
          <w:sz w:val="24"/>
          <w:szCs w:val="24"/>
          <w:vertAlign w:val="superscript"/>
        </w:rPr>
        <w:t>13,22</w:t>
      </w:r>
      <w:r w:rsidRPr="00B646C4">
        <w:rPr>
          <w:rFonts w:ascii="Times New Roman" w:hAnsi="Times New Roman"/>
          <w:sz w:val="24"/>
          <w:szCs w:val="24"/>
        </w:rPr>
        <w:t>. The international literature also points out the same result</w:t>
      </w:r>
      <w:r w:rsidRPr="00B646C4">
        <w:rPr>
          <w:rFonts w:ascii="Times New Roman" w:hAnsi="Times New Roman"/>
          <w:sz w:val="24"/>
          <w:szCs w:val="24"/>
          <w:vertAlign w:val="superscript"/>
        </w:rPr>
        <w:t>23</w:t>
      </w:r>
      <w:r w:rsidRPr="00B646C4">
        <w:rPr>
          <w:rFonts w:ascii="Times New Roman" w:hAnsi="Times New Roman"/>
          <w:sz w:val="24"/>
          <w:szCs w:val="24"/>
        </w:rPr>
        <w:t>. This scenario is strongly suggestive of the inclusion of a greater number of individuals in the list of users of the public system, which demanded hospital care, in parallel to the advances of women's emancipation movements, which began to be inserted in the public scene, especially in the mental health care circles</w:t>
      </w:r>
      <w:r w:rsidRPr="00B646C4">
        <w:rPr>
          <w:rFonts w:ascii="Times New Roman" w:hAnsi="Times New Roman"/>
          <w:sz w:val="24"/>
          <w:szCs w:val="24"/>
          <w:vertAlign w:val="superscript"/>
        </w:rPr>
        <w:t>15</w:t>
      </w:r>
      <w:r w:rsidRPr="00B646C4">
        <w:rPr>
          <w:rFonts w:ascii="Times New Roman" w:hAnsi="Times New Roman"/>
          <w:sz w:val="24"/>
          <w:szCs w:val="24"/>
        </w:rPr>
        <w:t xml:space="preserve">. </w:t>
      </w:r>
    </w:p>
    <w:p w14:paraId="345B3CA0" w14:textId="77777777" w:rsidR="008F7A0F" w:rsidRPr="00B646C4" w:rsidRDefault="00111B7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pPr>
      <w:r w:rsidRPr="00B646C4">
        <w:rPr>
          <w:shd w:val="clear" w:color="auto" w:fill="FFFFFF"/>
        </w:rPr>
        <w:t xml:space="preserve">The increase in the number of hospitalizations, regardless of age group and gender, recorded from 2016 onwards, </w:t>
      </w:r>
      <w:r w:rsidRPr="00B646C4">
        <w:t>occurred even after the creation, in 2014, of the Deinstitutionalization Program, a RAPS strategy</w:t>
      </w:r>
      <w:r w:rsidRPr="00B646C4">
        <w:rPr>
          <w:vertAlign w:val="superscript"/>
        </w:rPr>
        <w:t>24</w:t>
      </w:r>
      <w:r w:rsidRPr="00B646C4">
        <w:t>. It seems to be a reflection of the setbacks in the National Mental Health Policy in the 2016-2019 period. During this period, regulations issued by the federal government encouraged psychiatric hospitalization, which shows a stagnation tendency in the pace of implementation of community-based services</w:t>
      </w:r>
      <w:r w:rsidRPr="00B646C4">
        <w:rPr>
          <w:vertAlign w:val="superscript"/>
        </w:rPr>
        <w:t>25</w:t>
      </w:r>
      <w:r w:rsidRPr="00B646C4">
        <w:t>.</w:t>
      </w:r>
    </w:p>
    <w:p w14:paraId="2B3186B7" w14:textId="7196FC6E" w:rsidR="008F7A0F" w:rsidRPr="00B646C4" w:rsidRDefault="003E6D1C">
      <w:pPr>
        <w:pStyle w:val="PadroA"/>
        <w:spacing w:line="480" w:lineRule="auto"/>
        <w:ind w:firstLine="709"/>
        <w:jc w:val="both"/>
        <w:rPr>
          <w:rFonts w:ascii="Times New Roman" w:eastAsia="Times New Roman" w:hAnsi="Times New Roman" w:cs="Times New Roman"/>
          <w:sz w:val="24"/>
          <w:szCs w:val="24"/>
        </w:rPr>
      </w:pPr>
      <w:r w:rsidRPr="00B646C4">
        <w:rPr>
          <w:rFonts w:ascii="Times New Roman" w:hAnsi="Times New Roman"/>
          <w:sz w:val="24"/>
          <w:szCs w:val="24"/>
        </w:rPr>
        <w:t>In 2017, Resolution No. 32 of the Tripartite Intermanager Commission</w:t>
      </w:r>
      <w:r w:rsidR="00E77F63">
        <w:rPr>
          <w:rFonts w:ascii="Times New Roman" w:hAnsi="Times New Roman"/>
          <w:sz w:val="24"/>
          <w:szCs w:val="24"/>
        </w:rPr>
        <w:t xml:space="preserve"> </w:t>
      </w:r>
      <w:r w:rsidRPr="00B646C4">
        <w:rPr>
          <w:rFonts w:ascii="Times New Roman" w:hAnsi="Times New Roman"/>
          <w:sz w:val="24"/>
          <w:szCs w:val="24"/>
        </w:rPr>
        <w:t>(</w:t>
      </w:r>
      <w:r w:rsidRPr="00B646C4">
        <w:rPr>
          <w:rFonts w:ascii="Times New Roman" w:hAnsi="Times New Roman"/>
          <w:i/>
          <w:sz w:val="24"/>
          <w:szCs w:val="24"/>
        </w:rPr>
        <w:t>Comissão Intergestores Tripartite</w:t>
      </w:r>
      <w:r w:rsidRPr="00B646C4">
        <w:rPr>
          <w:rFonts w:ascii="Times New Roman" w:hAnsi="Times New Roman"/>
          <w:sz w:val="24"/>
          <w:szCs w:val="24"/>
        </w:rPr>
        <w:t>, CIT) established the (new) guidelines for the functioning of the RAPS</w:t>
      </w:r>
      <w:r w:rsidRPr="00B646C4">
        <w:rPr>
          <w:rFonts w:ascii="Times New Roman" w:hAnsi="Times New Roman"/>
          <w:sz w:val="24"/>
          <w:szCs w:val="24"/>
          <w:vertAlign w:val="superscript"/>
        </w:rPr>
        <w:t>26</w:t>
      </w:r>
      <w:r w:rsidRPr="00B646C4">
        <w:rPr>
          <w:rFonts w:ascii="Times New Roman" w:hAnsi="Times New Roman"/>
          <w:sz w:val="24"/>
          <w:szCs w:val="24"/>
        </w:rPr>
        <w:t>: psychiatric hospitals as an integral care component in the network, in addition to pointing to greater funding for them. In the same year, Ministry of Health Ordinance No. 3,588 was published, which established the Psychosocial Care Center for Alcohol and Other Drugs IV (</w:t>
      </w:r>
      <w:r w:rsidRPr="00B646C4">
        <w:rPr>
          <w:rFonts w:ascii="Times New Roman" w:hAnsi="Times New Roman"/>
          <w:i/>
          <w:sz w:val="24"/>
          <w:szCs w:val="24"/>
        </w:rPr>
        <w:t>Centro de Atenção Psicossocial Álcool e Outras Drogas</w:t>
      </w:r>
      <w:r w:rsidRPr="00B646C4">
        <w:rPr>
          <w:rFonts w:ascii="Times New Roman" w:hAnsi="Times New Roman"/>
          <w:sz w:val="24"/>
          <w:szCs w:val="24"/>
        </w:rPr>
        <w:t>, CAPSad IV)</w:t>
      </w:r>
      <w:r w:rsidRPr="00B646C4">
        <w:rPr>
          <w:rFonts w:ascii="Times New Roman" w:hAnsi="Times New Roman"/>
          <w:sz w:val="24"/>
          <w:szCs w:val="24"/>
          <w:vertAlign w:val="superscript"/>
        </w:rPr>
        <w:t>27</w:t>
      </w:r>
      <w:r w:rsidRPr="00B646C4">
        <w:rPr>
          <w:rFonts w:ascii="Times New Roman" w:hAnsi="Times New Roman"/>
          <w:sz w:val="24"/>
          <w:szCs w:val="24"/>
        </w:rPr>
        <w:t>, which distorts the care logic of the CAPS, as it is an assistance service for urgencies and emergencies, to the detriment of attention to the crisis based on the therapeutic bond</w:t>
      </w:r>
      <w:r w:rsidRPr="00B646C4">
        <w:rPr>
          <w:rFonts w:ascii="Times New Roman" w:hAnsi="Times New Roman"/>
          <w:sz w:val="24"/>
          <w:szCs w:val="24"/>
          <w:vertAlign w:val="superscript"/>
        </w:rPr>
        <w:t>25</w:t>
      </w:r>
      <w:r w:rsidRPr="00B646C4">
        <w:rPr>
          <w:rFonts w:ascii="Times New Roman" w:hAnsi="Times New Roman"/>
          <w:sz w:val="24"/>
          <w:szCs w:val="24"/>
        </w:rPr>
        <w:t>. In 2019, Technical Note No. 11/2019-CGMAD/DAPES/SAS/MS was published as the “New National Mental Health Policy”</w:t>
      </w:r>
      <w:r w:rsidRPr="00B646C4">
        <w:rPr>
          <w:rFonts w:ascii="Times New Roman" w:hAnsi="Times New Roman"/>
          <w:sz w:val="24"/>
          <w:szCs w:val="24"/>
          <w:vertAlign w:val="superscript"/>
        </w:rPr>
        <w:t>28</w:t>
      </w:r>
      <w:r w:rsidRPr="00B646C4">
        <w:rPr>
          <w:rFonts w:ascii="Times New Roman" w:hAnsi="Times New Roman"/>
          <w:sz w:val="24"/>
          <w:szCs w:val="24"/>
        </w:rPr>
        <w:t xml:space="preserve">, questioning the effectiveness of the model in force until </w:t>
      </w:r>
      <w:r w:rsidRPr="00B646C4">
        <w:rPr>
          <w:rFonts w:ascii="Times New Roman" w:hAnsi="Times New Roman"/>
          <w:sz w:val="24"/>
          <w:szCs w:val="24"/>
        </w:rPr>
        <w:lastRenderedPageBreak/>
        <w:t>2017 and the direction of a policy based on community care, in addition to asserting the need to increase the number of psychiatric beds.</w:t>
      </w:r>
    </w:p>
    <w:p w14:paraId="2609E3FD" w14:textId="7CCF72C8" w:rsidR="008F7A0F" w:rsidRPr="00B646C4" w:rsidRDefault="00111B74">
      <w:pPr>
        <w:pStyle w:val="PadroA"/>
        <w:spacing w:line="480" w:lineRule="auto"/>
        <w:ind w:firstLine="709"/>
        <w:jc w:val="both"/>
        <w:rPr>
          <w:shd w:val="clear" w:color="auto" w:fill="FFFFFF"/>
        </w:rPr>
      </w:pPr>
      <w:r w:rsidRPr="00B646C4">
        <w:rPr>
          <w:rFonts w:ascii="Times New Roman" w:hAnsi="Times New Roman"/>
          <w:sz w:val="24"/>
          <w:szCs w:val="24"/>
          <w:shd w:val="clear" w:color="auto" w:fill="FFFFFF"/>
        </w:rPr>
        <w:t xml:space="preserve">As a limitation of this study, the use of secondary data from the SIH/SUS is pointed out, which can represent an underestimated analysis in the absence of data submission and in any of the selected periods. Although data from governmental databases are frequently used for planning, management assessment and in research, it is known that filling out documents that generate this diverse information requires knowledge. </w:t>
      </w:r>
      <w:r w:rsidRPr="00B646C4">
        <w:rPr>
          <w:rFonts w:ascii="Times New Roman" w:hAnsi="Times New Roman"/>
          <w:sz w:val="24"/>
          <w:szCs w:val="24"/>
        </w:rPr>
        <w:t>In addition to that, such documents, herein translated into the Hospital Admission Authorization</w:t>
      </w:r>
      <w:r w:rsidR="00E77F63">
        <w:rPr>
          <w:rFonts w:ascii="Times New Roman" w:hAnsi="Times New Roman"/>
          <w:sz w:val="24"/>
          <w:szCs w:val="24"/>
        </w:rPr>
        <w:t xml:space="preserve"> </w:t>
      </w:r>
      <w:r w:rsidRPr="00B646C4">
        <w:rPr>
          <w:rFonts w:ascii="Times New Roman" w:hAnsi="Times New Roman"/>
          <w:sz w:val="24"/>
          <w:szCs w:val="24"/>
        </w:rPr>
        <w:t>(</w:t>
      </w:r>
      <w:r w:rsidRPr="00B646C4">
        <w:rPr>
          <w:rFonts w:ascii="Times New Roman" w:hAnsi="Times New Roman"/>
          <w:i/>
          <w:sz w:val="24"/>
          <w:szCs w:val="24"/>
        </w:rPr>
        <w:t>Autorização de Internação Hospitalar</w:t>
      </w:r>
      <w:r w:rsidRPr="00B646C4">
        <w:rPr>
          <w:rFonts w:ascii="Times New Roman" w:hAnsi="Times New Roman"/>
          <w:sz w:val="24"/>
          <w:szCs w:val="24"/>
        </w:rPr>
        <w:t>, AIH), which generates these data, are valid for 30 days</w:t>
      </w:r>
      <w:r w:rsidRPr="00B646C4">
        <w:rPr>
          <w:rFonts w:ascii="Times New Roman" w:hAnsi="Times New Roman"/>
          <w:sz w:val="24"/>
          <w:szCs w:val="24"/>
          <w:vertAlign w:val="superscript"/>
        </w:rPr>
        <w:t>29</w:t>
      </w:r>
      <w:r w:rsidRPr="00B646C4">
        <w:rPr>
          <w:rFonts w:ascii="Times New Roman" w:hAnsi="Times New Roman"/>
          <w:sz w:val="24"/>
          <w:szCs w:val="24"/>
          <w:shd w:val="clear" w:color="auto" w:fill="FFFFFF"/>
        </w:rPr>
        <w:t>, with the possibility of influencing the count of hospitalizations</w:t>
      </w:r>
      <w:r w:rsidRPr="00B646C4">
        <w:rPr>
          <w:rFonts w:ascii="Times New Roman" w:hAnsi="Times New Roman"/>
          <w:sz w:val="24"/>
          <w:szCs w:val="24"/>
          <w:vertAlign w:val="superscript"/>
        </w:rPr>
        <w:t>30</w:t>
      </w:r>
      <w:r w:rsidRPr="00B646C4">
        <w:rPr>
          <w:rFonts w:ascii="Times New Roman" w:hAnsi="Times New Roman"/>
          <w:sz w:val="24"/>
          <w:szCs w:val="24"/>
          <w:shd w:val="clear" w:color="auto" w:fill="FFFFFF"/>
        </w:rPr>
        <w:t>, especially those in which the causes analyzed required longer than that, such as schizophrenia and mental retardation.</w:t>
      </w:r>
    </w:p>
    <w:p w14:paraId="647C1BA7" w14:textId="77777777" w:rsidR="008F7A0F" w:rsidRPr="00B646C4" w:rsidRDefault="008F7A0F">
      <w:pPr>
        <w:pStyle w:val="PadroA"/>
        <w:spacing w:line="480" w:lineRule="auto"/>
        <w:ind w:firstLine="709"/>
        <w:jc w:val="both"/>
        <w:rPr>
          <w:rFonts w:ascii="Times New Roman" w:eastAsia="Times New Roman" w:hAnsi="Times New Roman" w:cs="Times New Roman"/>
          <w:sz w:val="24"/>
          <w:szCs w:val="24"/>
        </w:rPr>
      </w:pPr>
    </w:p>
    <w:p w14:paraId="083DBF19" w14:textId="77777777" w:rsidR="008F7A0F" w:rsidRPr="00B646C4" w:rsidRDefault="00111B74">
      <w:pPr>
        <w:pStyle w:val="Ttulo"/>
        <w:spacing w:before="0"/>
      </w:pPr>
      <w:r w:rsidRPr="00B646C4">
        <w:t>CONCLUSION</w:t>
      </w:r>
    </w:p>
    <w:p w14:paraId="43D8C500" w14:textId="77777777" w:rsidR="008F7A0F" w:rsidRPr="00B646C4" w:rsidRDefault="00111B74">
      <w:pPr>
        <w:pStyle w:val="CorpoA"/>
        <w:ind w:firstLine="708"/>
        <w:rPr>
          <w:shd w:val="clear" w:color="auto" w:fill="D4FB78"/>
        </w:rPr>
      </w:pPr>
      <w:r w:rsidRPr="00B646C4">
        <w:t>In Piauí, the number of psychiatric</w:t>
      </w:r>
      <w:r w:rsidRPr="00B646C4">
        <w:rPr>
          <w:shd w:val="clear" w:color="auto" w:fill="FFFFFF"/>
        </w:rPr>
        <w:t xml:space="preserve"> hospitalizations presented a marked reduction from 2009 to 2012 and a discrete drop between 2013 and 2015, the period after enactment of Ordinance No. 3,088/2011. The exception occurred from 2016 to 2019, </w:t>
      </w:r>
      <w:r w:rsidRPr="00B646C4">
        <w:t>when regulations</w:t>
      </w:r>
      <w:r w:rsidRPr="00B646C4">
        <w:rPr>
          <w:shd w:val="clear" w:color="auto" w:fill="FFFFFF"/>
        </w:rPr>
        <w:t xml:space="preserve"> were published to encourage psychiatric hospitalization. Male gender and age group between 20 and 59 years old </w:t>
      </w:r>
      <w:r w:rsidRPr="00B646C4">
        <w:t>presented</w:t>
      </w:r>
      <w:r w:rsidRPr="00B646C4">
        <w:rPr>
          <w:shd w:val="clear" w:color="auto" w:fill="FFFFFF"/>
        </w:rPr>
        <w:t xml:space="preserve"> a higher frequency of hospitalizations. The hospitalizations </w:t>
      </w:r>
      <w:r w:rsidRPr="00B646C4">
        <w:t>were mainly in people with schizophrenia and mood (affective) disorders, diagnoses that</w:t>
      </w:r>
      <w:r w:rsidRPr="00B646C4">
        <w:rPr>
          <w:shd w:val="clear" w:color="auto" w:fill="FFFFFF"/>
        </w:rPr>
        <w:t xml:space="preserve"> demanded higher costs, together with dementia. </w:t>
      </w:r>
      <w:r w:rsidRPr="00B646C4">
        <w:t>Mental retardation prolonged the hospitalization times.</w:t>
      </w:r>
    </w:p>
    <w:p w14:paraId="6E0A5D33" w14:textId="77777777" w:rsidR="008F7A0F" w:rsidRPr="00B646C4" w:rsidRDefault="00111B74">
      <w:pPr>
        <w:pStyle w:val="PadroA"/>
        <w:spacing w:line="480" w:lineRule="auto"/>
        <w:ind w:firstLine="709"/>
        <w:jc w:val="both"/>
        <w:rPr>
          <w:rFonts w:ascii="Times New Roman" w:eastAsia="Times New Roman" w:hAnsi="Times New Roman" w:cs="Times New Roman"/>
          <w:sz w:val="24"/>
          <w:szCs w:val="24"/>
          <w:shd w:val="clear" w:color="auto" w:fill="FFFFFF"/>
        </w:rPr>
      </w:pPr>
      <w:r w:rsidRPr="00B646C4">
        <w:rPr>
          <w:rFonts w:ascii="Times New Roman" w:hAnsi="Times New Roman"/>
          <w:sz w:val="24"/>
          <w:szCs w:val="24"/>
          <w:shd w:val="clear" w:color="auto" w:fill="FFFFFF"/>
        </w:rPr>
        <w:t xml:space="preserve">This study contributes to the analysis of data that reflect the implementation of previous public policies aimed at mental health and allow planning of health strategies for </w:t>
      </w:r>
      <w:r w:rsidRPr="00B646C4">
        <w:rPr>
          <w:rFonts w:ascii="Times New Roman" w:hAnsi="Times New Roman"/>
          <w:sz w:val="24"/>
          <w:szCs w:val="24"/>
          <w:shd w:val="clear" w:color="auto" w:fill="FFFFFF"/>
        </w:rPr>
        <w:lastRenderedPageBreak/>
        <w:t xml:space="preserve">Piauí, related to the mental health demands and, specifically, to strengthening of the RAPS. There is an evident need for investments in community-based services and for a better articulation between the mental health and primary care devices. Such actions </w:t>
      </w:r>
      <w:r w:rsidRPr="00B646C4">
        <w:rPr>
          <w:rFonts w:ascii="Times New Roman" w:hAnsi="Times New Roman"/>
          <w:sz w:val="24"/>
          <w:szCs w:val="24"/>
        </w:rPr>
        <w:t xml:space="preserve">can contribute to </w:t>
      </w:r>
      <w:r w:rsidRPr="00B646C4">
        <w:rPr>
          <w:rFonts w:ascii="Times New Roman" w:hAnsi="Times New Roman"/>
          <w:sz w:val="24"/>
          <w:szCs w:val="24"/>
          <w:shd w:val="clear" w:color="auto" w:fill="FFFFFF"/>
        </w:rPr>
        <w:t>reducing the psychiatric hospitalization rates. The results showed the importance of intensifying investments in the out-of-hospital network, for monitoring users with severe and persistent mental disorders, such as those with schizophrenia, mental retardation and mood disorders.</w:t>
      </w:r>
    </w:p>
    <w:p w14:paraId="1EA66351" w14:textId="77777777" w:rsidR="008F7A0F" w:rsidRPr="00B646C4" w:rsidRDefault="008F7A0F">
      <w:pPr>
        <w:pStyle w:val="PadroA"/>
        <w:spacing w:line="480" w:lineRule="auto"/>
        <w:ind w:firstLine="709"/>
        <w:jc w:val="both"/>
        <w:rPr>
          <w:rFonts w:ascii="Times New Roman" w:eastAsia="Times New Roman" w:hAnsi="Times New Roman" w:cs="Times New Roman"/>
          <w:sz w:val="24"/>
          <w:szCs w:val="24"/>
        </w:rPr>
      </w:pPr>
    </w:p>
    <w:p w14:paraId="703CE294" w14:textId="77777777" w:rsidR="008F7A0F" w:rsidRPr="00B646C4" w:rsidRDefault="00111B74">
      <w:pPr>
        <w:pStyle w:val="Ttulo"/>
        <w:spacing w:before="0" w:line="240" w:lineRule="auto"/>
      </w:pPr>
      <w:r w:rsidRPr="00B646C4">
        <w:t>REFERENCES</w:t>
      </w:r>
    </w:p>
    <w:p w14:paraId="6ACD44E5"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5FD8EC37" w14:textId="77777777" w:rsidR="008F7A0F" w:rsidRPr="00B646C4" w:rsidRDefault="00111B74">
      <w:pPr>
        <w:pStyle w:val="PadroA"/>
        <w:jc w:val="both"/>
        <w:rPr>
          <w:rStyle w:val="Hyperlink0"/>
          <w:rFonts w:eastAsia="Arial Unicode MS"/>
          <w:sz w:val="24"/>
          <w:szCs w:val="24"/>
        </w:rPr>
      </w:pPr>
      <w:r w:rsidRPr="00B646C4">
        <w:rPr>
          <w:rFonts w:ascii="Times New Roman" w:hAnsi="Times New Roman"/>
          <w:sz w:val="24"/>
          <w:szCs w:val="24"/>
          <w:shd w:val="clear" w:color="auto" w:fill="FFFFFF"/>
        </w:rPr>
        <w:t xml:space="preserve">1. Ministério da Saúde (BR). Reforma psiquiátrica e política de saúde mental no Brasil. Documento apresentado à Conferência Regional de Reforma dos Serviços de Saúde Mental: 15 anos depois de Caracas. [Internet] Brasília: OPAS; 2005 [accessed on 12 jun 2021]. Available in: </w:t>
      </w:r>
      <w:r w:rsidRPr="00B646C4">
        <w:rPr>
          <w:rStyle w:val="Hyperlink0"/>
          <w:rFonts w:eastAsia="Arial Unicode MS"/>
          <w:sz w:val="24"/>
          <w:szCs w:val="24"/>
        </w:rPr>
        <w:t>http://bvsms.saude.gov.br/bvs/publicacoes/Relatorio15_anos_Caracas.pdf.</w:t>
      </w:r>
    </w:p>
    <w:p w14:paraId="1FEAF0E5" w14:textId="77777777" w:rsidR="008F7A0F" w:rsidRPr="00B646C4" w:rsidRDefault="008F7A0F">
      <w:pPr>
        <w:pStyle w:val="PadroA"/>
        <w:jc w:val="both"/>
        <w:rPr>
          <w:rStyle w:val="Nenhum"/>
          <w:rFonts w:ascii="Times New Roman" w:eastAsia="Times New Roman" w:hAnsi="Times New Roman" w:cs="Times New Roman"/>
          <w:sz w:val="24"/>
          <w:szCs w:val="24"/>
          <w:shd w:val="clear" w:color="auto" w:fill="FFFFFF"/>
        </w:rPr>
      </w:pPr>
    </w:p>
    <w:p w14:paraId="13283EC9" w14:textId="77777777" w:rsidR="008F7A0F" w:rsidRPr="00B646C4" w:rsidRDefault="00111B74">
      <w:pPr>
        <w:pStyle w:val="PadroA"/>
        <w:jc w:val="both"/>
        <w:rPr>
          <w:rStyle w:val="Nenhum"/>
          <w:rFonts w:ascii="Times New Roman" w:eastAsia="Times New Roman" w:hAnsi="Times New Roman" w:cs="Times New Roman"/>
          <w:sz w:val="24"/>
          <w:szCs w:val="24"/>
          <w:shd w:val="clear" w:color="auto" w:fill="FFFFFF"/>
        </w:rPr>
      </w:pPr>
      <w:r w:rsidRPr="00B646C4">
        <w:rPr>
          <w:rStyle w:val="Nenhum"/>
          <w:rFonts w:ascii="Times New Roman" w:hAnsi="Times New Roman"/>
          <w:sz w:val="24"/>
          <w:szCs w:val="24"/>
        </w:rPr>
        <w:t xml:space="preserve">2. Clementino FS, Miranda FAN, Pessoa Júnior JM, Marcolino EC, Silva Júnior JA, Brandão GCG. Atendimento integral e comunitário em saúde mental: avanços e desafios da Reforma Psiquiátrica. Trab. Educ. Saúde. [Internet]. 2019 [accessed on 25 may 2022]; 17(1). Available in: </w:t>
      </w:r>
      <w:r w:rsidRPr="00B646C4">
        <w:rPr>
          <w:rStyle w:val="Hyperlink1"/>
          <w:rFonts w:ascii="Times New Roman" w:hAnsi="Times New Roman"/>
          <w:sz w:val="24"/>
          <w:szCs w:val="24"/>
        </w:rPr>
        <w:t>https://doi.org/10.1590/1981-7746-sol00177</w:t>
      </w:r>
      <w:r w:rsidRPr="00B646C4">
        <w:rPr>
          <w:rStyle w:val="Nenhum"/>
          <w:rFonts w:ascii="Times New Roman" w:hAnsi="Times New Roman"/>
          <w:sz w:val="24"/>
          <w:szCs w:val="24"/>
        </w:rPr>
        <w:t>.</w:t>
      </w:r>
    </w:p>
    <w:p w14:paraId="09FD6456"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58FEFD60" w14:textId="77777777" w:rsidR="008F7A0F" w:rsidRPr="00B646C4" w:rsidRDefault="00111B74">
      <w:pPr>
        <w:pStyle w:val="PadroA"/>
        <w:jc w:val="both"/>
        <w:rPr>
          <w:rStyle w:val="Hyperlink2"/>
          <w:rFonts w:eastAsia="Arial Unicode MS"/>
          <w:sz w:val="24"/>
          <w:szCs w:val="24"/>
        </w:rPr>
      </w:pPr>
      <w:r w:rsidRPr="00B646C4">
        <w:rPr>
          <w:rStyle w:val="Nenhum"/>
          <w:rFonts w:ascii="Times New Roman" w:hAnsi="Times New Roman"/>
          <w:sz w:val="24"/>
          <w:szCs w:val="24"/>
        </w:rPr>
        <w:t>3</w:t>
      </w:r>
      <w:r w:rsidRPr="00B646C4">
        <w:rPr>
          <w:rStyle w:val="Nenhum"/>
          <w:rFonts w:ascii="Times New Roman" w:hAnsi="Times New Roman"/>
          <w:sz w:val="24"/>
          <w:szCs w:val="24"/>
          <w:shd w:val="clear" w:color="auto" w:fill="FFFFFF"/>
        </w:rPr>
        <w:t xml:space="preserve">. Ministério da Saúde (BR). Portaria Nº 3.088, de 23 de dezembro de 2011. Institui a Rede de Atenção Psicossocial para pessoas com sofrimento ou transtorno mental e com necessidades decorrentes do uso de crack, álcool e outras drogas, no âmbito do Sistema Único de Saúde (SUS). [Internet] Brasília: Ministério da Saúde; 2011 [accessed on 12 jun 2021]. Available in: </w:t>
      </w:r>
      <w:r w:rsidRPr="00B646C4">
        <w:rPr>
          <w:rStyle w:val="Hyperlink2"/>
          <w:rFonts w:eastAsia="Arial Unicode MS"/>
          <w:sz w:val="24"/>
          <w:szCs w:val="24"/>
        </w:rPr>
        <w:t>https://bvsms.saude.gov.br/bvs/saudelegis/gm/2011/prt3088_23_12_2011_rep.html.</w:t>
      </w:r>
    </w:p>
    <w:p w14:paraId="494B2650" w14:textId="77777777" w:rsidR="008F7A0F" w:rsidRPr="00B646C4" w:rsidRDefault="008F7A0F">
      <w:pPr>
        <w:pStyle w:val="PadroA"/>
        <w:jc w:val="both"/>
        <w:rPr>
          <w:rStyle w:val="Hyperlink2"/>
          <w:rFonts w:eastAsia="Arial Unicode MS"/>
          <w:sz w:val="24"/>
          <w:szCs w:val="24"/>
        </w:rPr>
      </w:pPr>
    </w:p>
    <w:p w14:paraId="6309AE1E" w14:textId="77777777" w:rsidR="008F7A0F" w:rsidRPr="00B646C4" w:rsidRDefault="00111B74">
      <w:pPr>
        <w:pStyle w:val="PadroA"/>
        <w:jc w:val="both"/>
        <w:rPr>
          <w:rStyle w:val="Hyperlink2"/>
          <w:rFonts w:eastAsia="Arial Unicode MS"/>
          <w:sz w:val="24"/>
          <w:szCs w:val="24"/>
        </w:rPr>
      </w:pPr>
      <w:r w:rsidRPr="00B646C4">
        <w:rPr>
          <w:rStyle w:val="Nenhum"/>
          <w:rFonts w:ascii="Times New Roman" w:hAnsi="Times New Roman"/>
          <w:sz w:val="24"/>
          <w:szCs w:val="24"/>
        </w:rPr>
        <w:t xml:space="preserve">4. Campos RTO. Saúde mental no Brasil: avanços, retrocessos e desafios. Cad. Saúde Pública. [Internet]. 2019 [accessed on 25 may 2022]; 35(11). Available in: </w:t>
      </w:r>
      <w:r w:rsidRPr="00B646C4">
        <w:rPr>
          <w:rStyle w:val="Hyperlink3"/>
          <w:rFonts w:eastAsia="Arial Unicode MS"/>
          <w:sz w:val="24"/>
          <w:szCs w:val="24"/>
        </w:rPr>
        <w:t>https://doi.org/10.1590/0102-311X00156119</w:t>
      </w:r>
      <w:r w:rsidRPr="00B646C4">
        <w:rPr>
          <w:rStyle w:val="Hyperlink2"/>
          <w:rFonts w:eastAsia="Arial Unicode MS"/>
          <w:sz w:val="24"/>
          <w:szCs w:val="24"/>
        </w:rPr>
        <w:t>.</w:t>
      </w:r>
    </w:p>
    <w:p w14:paraId="056993B0"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3E5371CC" w14:textId="77777777" w:rsidR="008F7A0F" w:rsidRPr="00B646C4" w:rsidRDefault="00111B74">
      <w:pPr>
        <w:pStyle w:val="PadroA"/>
        <w:jc w:val="both"/>
        <w:rPr>
          <w:rStyle w:val="Hyperlink0"/>
          <w:rFonts w:eastAsia="Arial Unicode MS"/>
          <w:sz w:val="24"/>
          <w:szCs w:val="24"/>
        </w:rPr>
      </w:pPr>
      <w:r w:rsidRPr="00B646C4">
        <w:rPr>
          <w:rStyle w:val="Hyperlink2"/>
          <w:rFonts w:eastAsia="Arial Unicode MS"/>
          <w:sz w:val="24"/>
          <w:szCs w:val="24"/>
        </w:rPr>
        <w:t>5</w:t>
      </w:r>
      <w:r w:rsidRPr="00B646C4">
        <w:rPr>
          <w:rStyle w:val="Hyperlink0"/>
          <w:rFonts w:eastAsia="Arial Unicode MS"/>
          <w:sz w:val="24"/>
          <w:szCs w:val="24"/>
        </w:rPr>
        <w:t xml:space="preserve">. Presidência da República (BR). Lei Nº 10.216, de 6 de abril de 2001. </w:t>
      </w:r>
      <w:r w:rsidRPr="00B646C4">
        <w:rPr>
          <w:rStyle w:val="Nenhum"/>
          <w:rFonts w:ascii="Times New Roman" w:hAnsi="Times New Roman"/>
          <w:sz w:val="24"/>
          <w:szCs w:val="24"/>
          <w:shd w:val="clear" w:color="auto" w:fill="FFFFFF"/>
        </w:rPr>
        <w:t>Disp</w:t>
      </w:r>
      <w:r w:rsidRPr="00B646C4">
        <w:rPr>
          <w:rStyle w:val="Hyperlink0"/>
          <w:rFonts w:eastAsia="Arial Unicode MS"/>
          <w:sz w:val="24"/>
          <w:szCs w:val="24"/>
        </w:rPr>
        <w:t>õe sobre a proteção e os direitos das pessoas portadoras de transtornos mentais e redireciona o modelo assistencial em saúde mental. [Internet] Brasília; 2001 [accessed on 30 mar 2021]. Available in: http://www.planalto.gov.br/ccivil_03/leis/leis_2001/l10216.htm.</w:t>
      </w:r>
    </w:p>
    <w:p w14:paraId="2241750E" w14:textId="77777777" w:rsidR="008F7A0F" w:rsidRPr="00B646C4" w:rsidRDefault="008F7A0F">
      <w:pPr>
        <w:pStyle w:val="PadroA"/>
        <w:jc w:val="both"/>
        <w:rPr>
          <w:rStyle w:val="Hyperlink0"/>
          <w:rFonts w:eastAsia="Arial Unicode MS"/>
          <w:sz w:val="24"/>
          <w:szCs w:val="24"/>
        </w:rPr>
      </w:pPr>
    </w:p>
    <w:p w14:paraId="44345AAD" w14:textId="77777777" w:rsidR="008F7A0F" w:rsidRPr="00B646C4" w:rsidRDefault="00111B74">
      <w:pPr>
        <w:pStyle w:val="PadroA"/>
        <w:jc w:val="both"/>
        <w:rPr>
          <w:rStyle w:val="Nenhum"/>
          <w:rFonts w:ascii="Times New Roman" w:eastAsia="Times New Roman" w:hAnsi="Times New Roman" w:cs="Times New Roman"/>
          <w:sz w:val="24"/>
          <w:szCs w:val="24"/>
          <w:shd w:val="clear" w:color="auto" w:fill="00FA92"/>
        </w:rPr>
      </w:pPr>
      <w:r w:rsidRPr="00B646C4">
        <w:rPr>
          <w:rStyle w:val="Nenhum"/>
          <w:rFonts w:ascii="Times New Roman" w:hAnsi="Times New Roman"/>
          <w:sz w:val="24"/>
          <w:szCs w:val="24"/>
        </w:rPr>
        <w:t xml:space="preserve">6. Silva MAP da, Giacon-Arruda BCC, Marcheti PM, Teston EF, Veivenberg CG, Lima H de P. Bordando saúde: percepção de mulheres em sofrimento psíquico sobre a vivência em uma </w:t>
      </w:r>
      <w:r w:rsidRPr="00B646C4">
        <w:rPr>
          <w:rStyle w:val="Nenhum"/>
          <w:rFonts w:ascii="Times New Roman" w:hAnsi="Times New Roman"/>
          <w:sz w:val="24"/>
          <w:szCs w:val="24"/>
        </w:rPr>
        <w:lastRenderedPageBreak/>
        <w:t xml:space="preserve">oficina terapêutica. Cogitare Enferm. [Internet]. 2022 [accessed on 25 may 2022]; 27. Available in: </w:t>
      </w:r>
      <w:r w:rsidRPr="00B646C4">
        <w:rPr>
          <w:rStyle w:val="Hyperlink3"/>
          <w:rFonts w:eastAsia="Arial Unicode MS"/>
          <w:sz w:val="24"/>
          <w:szCs w:val="24"/>
        </w:rPr>
        <w:t>https://revistas.ufpr.br/cogitare/article/view/81933</w:t>
      </w:r>
      <w:r w:rsidRPr="00B646C4">
        <w:rPr>
          <w:rStyle w:val="Nenhum"/>
          <w:rFonts w:ascii="Times New Roman" w:hAnsi="Times New Roman"/>
          <w:sz w:val="24"/>
          <w:szCs w:val="24"/>
        </w:rPr>
        <w:t>.</w:t>
      </w:r>
    </w:p>
    <w:p w14:paraId="2787685B"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10BB25CE" w14:textId="77777777" w:rsidR="008F7A0F" w:rsidRPr="00B646C4" w:rsidRDefault="00111B74">
      <w:pPr>
        <w:pStyle w:val="PadroA"/>
        <w:jc w:val="both"/>
        <w:rPr>
          <w:rStyle w:val="Hyperlink2"/>
          <w:rFonts w:eastAsia="Arial Unicode MS"/>
          <w:sz w:val="24"/>
          <w:szCs w:val="24"/>
        </w:rPr>
      </w:pPr>
      <w:r w:rsidRPr="00B646C4">
        <w:rPr>
          <w:rStyle w:val="Nenhum"/>
          <w:rFonts w:ascii="Times New Roman" w:hAnsi="Times New Roman"/>
          <w:sz w:val="24"/>
          <w:szCs w:val="24"/>
        </w:rPr>
        <w:t xml:space="preserve">7. Almeida JMC de. Política de saúde mental no Brasil: o que está em jogo nas mudanças em curso. Cad. Saúde Pública. [Internet]. 2019 [accessed on 25 may 2022]; 35(11). Available in: </w:t>
      </w:r>
      <w:hyperlink r:id="rId9" w:history="1">
        <w:r w:rsidRPr="00B646C4">
          <w:rPr>
            <w:rStyle w:val="Hyperlink3"/>
            <w:rFonts w:eastAsia="Arial Unicode MS"/>
            <w:sz w:val="24"/>
            <w:szCs w:val="24"/>
          </w:rPr>
          <w:t>https://doi.org/10.1590/0102-311X00129519</w:t>
        </w:r>
      </w:hyperlink>
      <w:r w:rsidRPr="00B646C4">
        <w:rPr>
          <w:rStyle w:val="Nenhum"/>
          <w:rFonts w:ascii="Times New Roman" w:hAnsi="Times New Roman"/>
          <w:sz w:val="24"/>
          <w:szCs w:val="24"/>
        </w:rPr>
        <w:t>.</w:t>
      </w:r>
    </w:p>
    <w:p w14:paraId="76A612E5"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5C2FCAD5" w14:textId="77777777" w:rsidR="008F7A0F" w:rsidRPr="00B646C4" w:rsidRDefault="00111B74">
      <w:pPr>
        <w:pStyle w:val="PadroA"/>
        <w:jc w:val="both"/>
        <w:rPr>
          <w:rStyle w:val="Hyperlink2"/>
          <w:rFonts w:eastAsia="Arial Unicode MS"/>
          <w:sz w:val="24"/>
          <w:szCs w:val="24"/>
        </w:rPr>
      </w:pPr>
      <w:r w:rsidRPr="00B646C4">
        <w:rPr>
          <w:rStyle w:val="Hyperlink2"/>
          <w:rFonts w:eastAsia="Arial Unicode MS"/>
          <w:sz w:val="24"/>
          <w:szCs w:val="24"/>
        </w:rPr>
        <w:t>8</w:t>
      </w:r>
      <w:r w:rsidRPr="00B646C4">
        <w:rPr>
          <w:rStyle w:val="Nenhum"/>
          <w:rFonts w:ascii="Times New Roman" w:hAnsi="Times New Roman"/>
          <w:sz w:val="24"/>
          <w:szCs w:val="24"/>
          <w:shd w:val="clear" w:color="auto" w:fill="FFFFFF"/>
        </w:rPr>
        <w:t xml:space="preserve">. World Health Organization (WHO). Mental health and older adults. </w:t>
      </w:r>
      <w:r w:rsidRPr="00B646C4">
        <w:rPr>
          <w:rStyle w:val="Hyperlink0"/>
          <w:rFonts w:eastAsia="Arial Unicode MS"/>
          <w:sz w:val="24"/>
          <w:szCs w:val="24"/>
        </w:rPr>
        <w:t>[Internet]. Geneva: WHO; 2016 [accessed on 10 jun 2021]. Available in: http://www.who.int/mediacentre/factsheets/fs381/en/.</w:t>
      </w:r>
    </w:p>
    <w:p w14:paraId="30854018"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02F8B615" w14:textId="77777777" w:rsidR="008F7A0F" w:rsidRPr="00B646C4" w:rsidRDefault="00111B74">
      <w:pPr>
        <w:pStyle w:val="PadroA"/>
        <w:jc w:val="both"/>
        <w:rPr>
          <w:rStyle w:val="Hyperlink2"/>
          <w:rFonts w:eastAsia="Arial Unicode MS"/>
          <w:sz w:val="24"/>
          <w:szCs w:val="24"/>
        </w:rPr>
      </w:pPr>
      <w:r w:rsidRPr="00B646C4">
        <w:rPr>
          <w:rStyle w:val="Hyperlink2"/>
          <w:rFonts w:eastAsia="Arial Unicode MS"/>
          <w:sz w:val="24"/>
          <w:szCs w:val="24"/>
        </w:rPr>
        <w:t>9</w:t>
      </w:r>
      <w:r w:rsidRPr="00B646C4">
        <w:rPr>
          <w:rStyle w:val="Hyperlink0"/>
          <w:rFonts w:eastAsia="Arial Unicode MS"/>
          <w:sz w:val="24"/>
          <w:szCs w:val="24"/>
        </w:rPr>
        <w:t>. Melo MCA, Albuquerque SGC, Luz JHS, Quental PT de LF, Sampaio AM, Lima AB</w:t>
      </w:r>
      <w:r w:rsidRPr="00B646C4">
        <w:rPr>
          <w:rStyle w:val="Nenhum"/>
          <w:rFonts w:ascii="Times New Roman" w:hAnsi="Times New Roman"/>
          <w:sz w:val="24"/>
          <w:szCs w:val="24"/>
          <w:shd w:val="clear" w:color="auto" w:fill="FFFFFF"/>
        </w:rPr>
        <w:t>. Perfil cli</w:t>
      </w:r>
      <w:r w:rsidRPr="00B646C4">
        <w:rPr>
          <w:rStyle w:val="Hyperlink0"/>
          <w:rFonts w:eastAsia="Arial Unicode MS"/>
          <w:sz w:val="24"/>
          <w:szCs w:val="24"/>
        </w:rPr>
        <w:t>́nico e psicossocial dos moradores em hospitais psiquiátricos no estado do Ceará, Brasil. Ciê</w:t>
      </w:r>
      <w:r w:rsidRPr="00B646C4">
        <w:rPr>
          <w:rStyle w:val="Nenhum"/>
          <w:rFonts w:ascii="Times New Roman" w:hAnsi="Times New Roman"/>
          <w:sz w:val="24"/>
          <w:szCs w:val="24"/>
          <w:shd w:val="clear" w:color="auto" w:fill="FFFFFF"/>
        </w:rPr>
        <w:t>ncia &amp; Sau</w:t>
      </w:r>
      <w:r w:rsidRPr="00B646C4">
        <w:rPr>
          <w:rStyle w:val="Hyperlink0"/>
          <w:rFonts w:eastAsia="Arial Unicode MS"/>
          <w:sz w:val="24"/>
          <w:szCs w:val="24"/>
        </w:rPr>
        <w:t>́de Coletiva. [Internet]. 2015 [accessed on 07 jun 2021]; 20(2). Available in: https://doi.org/10.1590/1413-81232015202.2062013.</w:t>
      </w:r>
    </w:p>
    <w:p w14:paraId="1A6E038C"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098AC305" w14:textId="77777777" w:rsidR="008F7A0F" w:rsidRPr="00B646C4" w:rsidRDefault="00111B74">
      <w:pPr>
        <w:pStyle w:val="PadroA"/>
        <w:jc w:val="both"/>
        <w:rPr>
          <w:rStyle w:val="Hyperlink2"/>
          <w:rFonts w:eastAsia="Arial Unicode MS"/>
          <w:sz w:val="24"/>
          <w:szCs w:val="24"/>
        </w:rPr>
      </w:pPr>
      <w:r w:rsidRPr="00B646C4">
        <w:rPr>
          <w:rStyle w:val="Hyperlink2"/>
          <w:rFonts w:eastAsia="Arial Unicode MS"/>
          <w:sz w:val="24"/>
          <w:szCs w:val="24"/>
        </w:rPr>
        <w:t>10</w:t>
      </w:r>
      <w:r w:rsidRPr="00B646C4">
        <w:rPr>
          <w:rStyle w:val="Hyperlink0"/>
          <w:rFonts w:eastAsia="Arial Unicode MS"/>
          <w:sz w:val="24"/>
          <w:szCs w:val="24"/>
        </w:rPr>
        <w:t xml:space="preserve">. Miliauskas CR, </w:t>
      </w:r>
      <w:r w:rsidRPr="00B646C4">
        <w:rPr>
          <w:rStyle w:val="Nenhum"/>
          <w:rFonts w:ascii="Times New Roman" w:hAnsi="Times New Roman"/>
          <w:sz w:val="24"/>
          <w:szCs w:val="24"/>
          <w:shd w:val="clear" w:color="auto" w:fill="FFFFFF"/>
        </w:rPr>
        <w:t xml:space="preserve">Faus </w:t>
      </w:r>
      <w:r w:rsidRPr="00B646C4">
        <w:rPr>
          <w:rStyle w:val="Hyperlink0"/>
          <w:rFonts w:eastAsia="Arial Unicode MS"/>
          <w:sz w:val="24"/>
          <w:szCs w:val="24"/>
        </w:rPr>
        <w:t xml:space="preserve">DP, Junkes L, Rodrigues RB, </w:t>
      </w:r>
      <w:r w:rsidRPr="00B646C4">
        <w:rPr>
          <w:rStyle w:val="Nenhum"/>
          <w:rFonts w:ascii="Times New Roman" w:hAnsi="Times New Roman"/>
          <w:sz w:val="24"/>
          <w:szCs w:val="24"/>
          <w:shd w:val="clear" w:color="auto" w:fill="FFFFFF"/>
        </w:rPr>
        <w:t>Junger</w:t>
      </w:r>
      <w:r w:rsidRPr="00B646C4">
        <w:rPr>
          <w:rStyle w:val="Hyperlink0"/>
          <w:rFonts w:eastAsia="Arial Unicode MS"/>
          <w:sz w:val="24"/>
          <w:szCs w:val="24"/>
        </w:rPr>
        <w:t xml:space="preserve"> W. Associaçã</w:t>
      </w:r>
      <w:r w:rsidRPr="00B646C4">
        <w:rPr>
          <w:rStyle w:val="Nenhum"/>
          <w:rFonts w:ascii="Times New Roman" w:hAnsi="Times New Roman"/>
          <w:sz w:val="24"/>
          <w:szCs w:val="24"/>
          <w:shd w:val="clear" w:color="auto" w:fill="FFFFFF"/>
        </w:rPr>
        <w:t>o entre interna</w:t>
      </w:r>
      <w:r w:rsidRPr="00B646C4">
        <w:rPr>
          <w:rStyle w:val="Hyperlink0"/>
          <w:rFonts w:eastAsia="Arial Unicode MS"/>
          <w:sz w:val="24"/>
          <w:szCs w:val="24"/>
        </w:rPr>
        <w:t>çõ</w:t>
      </w:r>
      <w:r w:rsidRPr="00B646C4">
        <w:rPr>
          <w:rStyle w:val="Nenhum"/>
          <w:rFonts w:ascii="Times New Roman" w:hAnsi="Times New Roman"/>
          <w:sz w:val="24"/>
          <w:szCs w:val="24"/>
          <w:shd w:val="clear" w:color="auto" w:fill="FFFFFF"/>
        </w:rPr>
        <w:t>es psiqui</w:t>
      </w:r>
      <w:r w:rsidRPr="00B646C4">
        <w:rPr>
          <w:rStyle w:val="Hyperlink0"/>
          <w:rFonts w:eastAsia="Arial Unicode MS"/>
          <w:sz w:val="24"/>
          <w:szCs w:val="24"/>
        </w:rPr>
        <w:t>átricas, cobertura de CAPS e atenção básica em regiões metropolitanas do RJ e SP, Brasil. Ciê</w:t>
      </w:r>
      <w:r w:rsidRPr="00B646C4">
        <w:rPr>
          <w:rStyle w:val="Nenhum"/>
          <w:rFonts w:ascii="Times New Roman" w:hAnsi="Times New Roman"/>
          <w:sz w:val="24"/>
          <w:szCs w:val="24"/>
          <w:shd w:val="clear" w:color="auto" w:fill="FFFFFF"/>
        </w:rPr>
        <w:t>ncia &amp; Sau</w:t>
      </w:r>
      <w:r w:rsidRPr="00B646C4">
        <w:rPr>
          <w:rStyle w:val="Hyperlink0"/>
          <w:rFonts w:eastAsia="Arial Unicode MS"/>
          <w:sz w:val="24"/>
          <w:szCs w:val="24"/>
        </w:rPr>
        <w:t>́de Coletiva. [Internet]. 2019 [accessed on 12 jun 2021]; 24(5). Available in: https://doi.org/10.1590/1413-81232018245.18862017.</w:t>
      </w:r>
    </w:p>
    <w:p w14:paraId="2B6840ED"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598FA115" w14:textId="77777777" w:rsidR="008F7A0F" w:rsidRPr="00B646C4" w:rsidRDefault="00111B74">
      <w:pPr>
        <w:pStyle w:val="PadroA"/>
        <w:jc w:val="both"/>
        <w:rPr>
          <w:rStyle w:val="Hyperlink0"/>
          <w:rFonts w:eastAsia="Arial Unicode MS"/>
          <w:sz w:val="24"/>
          <w:szCs w:val="24"/>
        </w:rPr>
      </w:pPr>
      <w:r w:rsidRPr="00B646C4">
        <w:rPr>
          <w:rStyle w:val="Hyperlink2"/>
          <w:rFonts w:eastAsia="Arial Unicode MS"/>
          <w:sz w:val="24"/>
          <w:szCs w:val="24"/>
        </w:rPr>
        <w:t>11</w:t>
      </w:r>
      <w:r w:rsidRPr="00B646C4">
        <w:rPr>
          <w:rStyle w:val="Hyperlink0"/>
          <w:rFonts w:eastAsia="Arial Unicode MS"/>
          <w:sz w:val="24"/>
          <w:szCs w:val="24"/>
        </w:rPr>
        <w:t xml:space="preserve">. Pereira AR, Joazeiro G. </w:t>
      </w:r>
      <w:r w:rsidRPr="00B646C4">
        <w:rPr>
          <w:rStyle w:val="Nenhum"/>
          <w:rFonts w:ascii="Times New Roman" w:hAnsi="Times New Roman"/>
          <w:sz w:val="24"/>
          <w:szCs w:val="24"/>
          <w:shd w:val="clear" w:color="auto" w:fill="FFFFFF"/>
        </w:rPr>
        <w:t>Percep</w:t>
      </w:r>
      <w:r w:rsidRPr="00B646C4">
        <w:rPr>
          <w:rStyle w:val="Hyperlink0"/>
          <w:rFonts w:eastAsia="Arial Unicode MS"/>
          <w:sz w:val="24"/>
          <w:szCs w:val="24"/>
        </w:rPr>
        <w:t>ção da internação em hospital psiquiátrico por pacientes com diagn</w:t>
      </w:r>
      <w:r w:rsidRPr="00B646C4">
        <w:rPr>
          <w:rStyle w:val="Nenhum"/>
          <w:rFonts w:ascii="Times New Roman" w:hAnsi="Times New Roman"/>
          <w:sz w:val="24"/>
          <w:szCs w:val="24"/>
          <w:shd w:val="clear" w:color="auto" w:fill="FFFFFF"/>
        </w:rPr>
        <w:t>óstico de esquizofrenia</w:t>
      </w:r>
      <w:r w:rsidRPr="00B646C4">
        <w:rPr>
          <w:rStyle w:val="Hyperlink0"/>
          <w:rFonts w:eastAsia="Arial Unicode MS"/>
          <w:sz w:val="24"/>
          <w:szCs w:val="24"/>
        </w:rPr>
        <w:t>. O Mundo da Saúde. [Internet]. 2015 [accessed on 06 jun 2021]; 39(4). Available in: https://doi.org/10.15343/0104-7809.20153904476483.</w:t>
      </w:r>
    </w:p>
    <w:p w14:paraId="76238C6D" w14:textId="77777777" w:rsidR="008F7A0F" w:rsidRPr="00B646C4" w:rsidRDefault="008F7A0F">
      <w:pPr>
        <w:pStyle w:val="PadroA"/>
        <w:jc w:val="both"/>
        <w:rPr>
          <w:rStyle w:val="Hyperlink0"/>
          <w:rFonts w:eastAsia="Arial Unicode MS"/>
          <w:sz w:val="24"/>
          <w:szCs w:val="24"/>
        </w:rPr>
      </w:pPr>
    </w:p>
    <w:p w14:paraId="4CCF1DB8" w14:textId="77777777" w:rsidR="008F7A0F" w:rsidRPr="00B646C4" w:rsidRDefault="00111B74">
      <w:pPr>
        <w:pStyle w:val="PadroA"/>
        <w:jc w:val="both"/>
        <w:rPr>
          <w:rStyle w:val="Hyperlink2"/>
          <w:rFonts w:eastAsia="Arial Unicode MS"/>
          <w:sz w:val="24"/>
          <w:szCs w:val="24"/>
        </w:rPr>
      </w:pPr>
      <w:r w:rsidRPr="00B646C4">
        <w:rPr>
          <w:rStyle w:val="Nenhum"/>
          <w:rFonts w:ascii="Times New Roman" w:hAnsi="Times New Roman"/>
          <w:sz w:val="24"/>
          <w:szCs w:val="24"/>
        </w:rPr>
        <w:t xml:space="preserve">12. Giovanni P Di, Martino G Di, Zecca IAL, Porfilio I, Romano F, Staniscia T. The revolving door phenomenon: psychiatric hospitalization and risk of readmission among drug-addicted patients. Clin. Ter. [Internet]. 2020 [accessed on 25 may 2022]; 171(5). Available in: </w:t>
      </w:r>
      <w:r w:rsidRPr="00B646C4">
        <w:rPr>
          <w:rStyle w:val="Hyperlink3"/>
          <w:rFonts w:eastAsia="Arial Unicode MS"/>
          <w:sz w:val="24"/>
          <w:szCs w:val="24"/>
        </w:rPr>
        <w:t>https://pubmed.ncbi.nlm.nih.gov/32901786/</w:t>
      </w:r>
      <w:r w:rsidRPr="00B646C4">
        <w:rPr>
          <w:rStyle w:val="Nenhum"/>
          <w:rFonts w:ascii="Times New Roman" w:hAnsi="Times New Roman"/>
          <w:sz w:val="24"/>
          <w:szCs w:val="24"/>
        </w:rPr>
        <w:t>.</w:t>
      </w:r>
    </w:p>
    <w:p w14:paraId="40B3F9E1"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53860501" w14:textId="77777777" w:rsidR="008F7A0F" w:rsidRPr="00B646C4" w:rsidRDefault="00111B74">
      <w:pPr>
        <w:pStyle w:val="PadroA"/>
        <w:jc w:val="both"/>
        <w:rPr>
          <w:rStyle w:val="Hyperlink2"/>
          <w:rFonts w:eastAsia="Arial Unicode MS"/>
          <w:sz w:val="24"/>
          <w:szCs w:val="24"/>
        </w:rPr>
      </w:pPr>
      <w:r w:rsidRPr="00B646C4">
        <w:rPr>
          <w:rStyle w:val="Hyperlink2"/>
          <w:rFonts w:eastAsia="Arial Unicode MS"/>
          <w:sz w:val="24"/>
          <w:szCs w:val="24"/>
        </w:rPr>
        <w:t>13</w:t>
      </w:r>
      <w:r w:rsidRPr="00B646C4">
        <w:rPr>
          <w:rStyle w:val="Hyperlink0"/>
          <w:rFonts w:eastAsia="Arial Unicode MS"/>
          <w:sz w:val="24"/>
          <w:szCs w:val="24"/>
        </w:rPr>
        <w:t>. Zanardo GL de P, Silveira LH de C, Rocha CMF, Rocha KB. Internações e reinternaçõ</w:t>
      </w:r>
      <w:r w:rsidRPr="00B646C4">
        <w:rPr>
          <w:rStyle w:val="Nenhum"/>
          <w:rFonts w:ascii="Times New Roman" w:hAnsi="Times New Roman"/>
          <w:sz w:val="24"/>
          <w:szCs w:val="24"/>
          <w:shd w:val="clear" w:color="auto" w:fill="FFFFFF"/>
        </w:rPr>
        <w:t>es psiqui</w:t>
      </w:r>
      <w:r w:rsidRPr="00B646C4">
        <w:rPr>
          <w:rStyle w:val="Hyperlink0"/>
          <w:rFonts w:eastAsia="Arial Unicode MS"/>
          <w:sz w:val="24"/>
          <w:szCs w:val="24"/>
        </w:rPr>
        <w:t>átricas em um hospital geral de Porto Alegre: caracterí</w:t>
      </w:r>
      <w:r w:rsidRPr="00B646C4">
        <w:rPr>
          <w:rStyle w:val="Nenhum"/>
          <w:rFonts w:ascii="Times New Roman" w:hAnsi="Times New Roman"/>
          <w:sz w:val="24"/>
          <w:szCs w:val="24"/>
          <w:shd w:val="clear" w:color="auto" w:fill="FFFFFF"/>
        </w:rPr>
        <w:t>sticas sociodemogr</w:t>
      </w:r>
      <w:r w:rsidRPr="00B646C4">
        <w:rPr>
          <w:rStyle w:val="Hyperlink0"/>
          <w:rFonts w:eastAsia="Arial Unicode MS"/>
          <w:sz w:val="24"/>
          <w:szCs w:val="24"/>
        </w:rPr>
        <w:t>áficas, clínicas e do uso da Rede de Atenção Psicossocial. Rev. bras. epidemiol. [Internet]. 2017 [accessed on 12 jun 2021]; 20(3). Available in: https://doi.org/10.1590/1980-5497201700030009.</w:t>
      </w:r>
    </w:p>
    <w:p w14:paraId="577AD027"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1D904B60" w14:textId="77777777" w:rsidR="008F7A0F" w:rsidRPr="00B646C4" w:rsidRDefault="00111B74">
      <w:pPr>
        <w:pStyle w:val="PadroA"/>
        <w:jc w:val="both"/>
        <w:rPr>
          <w:rStyle w:val="Hyperlink2"/>
          <w:rFonts w:eastAsia="Arial Unicode MS"/>
          <w:sz w:val="24"/>
          <w:szCs w:val="24"/>
        </w:rPr>
      </w:pPr>
      <w:r w:rsidRPr="00B646C4">
        <w:rPr>
          <w:rStyle w:val="Hyperlink0"/>
          <w:rFonts w:eastAsia="Arial Unicode MS"/>
          <w:sz w:val="24"/>
          <w:szCs w:val="24"/>
        </w:rPr>
        <w:t xml:space="preserve">14. Lindner LM, </w:t>
      </w:r>
      <w:r w:rsidRPr="00B646C4">
        <w:rPr>
          <w:rStyle w:val="Nenhum"/>
          <w:rFonts w:ascii="Times New Roman" w:hAnsi="Times New Roman"/>
          <w:sz w:val="24"/>
          <w:szCs w:val="24"/>
          <w:shd w:val="clear" w:color="auto" w:fill="FFFFFF"/>
        </w:rPr>
        <w:t>Marasciulo</w:t>
      </w:r>
      <w:r w:rsidRPr="00B646C4">
        <w:rPr>
          <w:rStyle w:val="Hyperlink0"/>
          <w:rFonts w:eastAsia="Arial Unicode MS"/>
          <w:sz w:val="24"/>
          <w:szCs w:val="24"/>
        </w:rPr>
        <w:t xml:space="preserve"> AC, Farias MR, Grohs GEM. Avaliação econômica do tratamento da esquizofrenia com antipsicóticos no Sistema Único de Saúde. Rev. Saú</w:t>
      </w:r>
      <w:r w:rsidRPr="00B646C4">
        <w:rPr>
          <w:rStyle w:val="Nenhum"/>
          <w:rFonts w:ascii="Times New Roman" w:hAnsi="Times New Roman"/>
          <w:sz w:val="24"/>
          <w:szCs w:val="24"/>
          <w:shd w:val="clear" w:color="auto" w:fill="FFFFFF"/>
        </w:rPr>
        <w:t>de Pu</w:t>
      </w:r>
      <w:r w:rsidRPr="00B646C4">
        <w:rPr>
          <w:rStyle w:val="Hyperlink0"/>
          <w:rFonts w:eastAsia="Arial Unicode MS"/>
          <w:sz w:val="24"/>
          <w:szCs w:val="24"/>
        </w:rPr>
        <w:t>́blica. [Internet]. 2009 [accessed on 01 jun 2021]; 43(Supl. 1). Available in: https://doi.org/10.1590/S0034-89102009000800010.</w:t>
      </w:r>
    </w:p>
    <w:p w14:paraId="43A8683C"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2EB38EC7" w14:textId="77777777" w:rsidR="008F7A0F" w:rsidRPr="00B646C4" w:rsidRDefault="00111B74">
      <w:pPr>
        <w:pStyle w:val="PadroA"/>
        <w:jc w:val="both"/>
        <w:rPr>
          <w:rStyle w:val="Hyperlink2"/>
          <w:rFonts w:eastAsia="Arial Unicode MS"/>
          <w:sz w:val="24"/>
          <w:szCs w:val="24"/>
        </w:rPr>
      </w:pPr>
      <w:r w:rsidRPr="00B646C4">
        <w:rPr>
          <w:rStyle w:val="Hyperlink0"/>
          <w:rFonts w:eastAsia="Arial Unicode MS"/>
          <w:sz w:val="24"/>
          <w:szCs w:val="24"/>
        </w:rPr>
        <w:t>15. Horta RL, Costa JSD da, Balbinot AD, Watte G, Teixeira VA, Poletto S. Hospitalizaçõ</w:t>
      </w:r>
      <w:r w:rsidRPr="00B646C4">
        <w:rPr>
          <w:rStyle w:val="Nenhum"/>
          <w:rFonts w:ascii="Times New Roman" w:hAnsi="Times New Roman"/>
          <w:sz w:val="24"/>
          <w:szCs w:val="24"/>
          <w:shd w:val="clear" w:color="auto" w:fill="FFFFFF"/>
        </w:rPr>
        <w:t>es psiqui</w:t>
      </w:r>
      <w:r w:rsidRPr="00B646C4">
        <w:rPr>
          <w:rStyle w:val="Hyperlink0"/>
          <w:rFonts w:eastAsia="Arial Unicode MS"/>
          <w:sz w:val="24"/>
          <w:szCs w:val="24"/>
        </w:rPr>
        <w:t>átricas no Rio Grande do Sul de 2000 a 2011. Rev. bras. epidemiol. [Internet]. 2015 [accessed on 07 jun 2021]; 18(4). Available in: https://doi.org/10.1590/1980-5497201500040019.</w:t>
      </w:r>
    </w:p>
    <w:p w14:paraId="39793EFC"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7B722974" w14:textId="77777777" w:rsidR="008F7A0F" w:rsidRPr="00B646C4" w:rsidRDefault="00111B74">
      <w:pPr>
        <w:pStyle w:val="PadroA"/>
        <w:jc w:val="both"/>
        <w:rPr>
          <w:rStyle w:val="Hyperlink2"/>
          <w:rFonts w:eastAsia="Arial Unicode MS"/>
          <w:sz w:val="24"/>
          <w:szCs w:val="24"/>
        </w:rPr>
      </w:pPr>
      <w:r w:rsidRPr="00B646C4">
        <w:rPr>
          <w:rStyle w:val="Hyperlink0"/>
          <w:rFonts w:eastAsia="Arial Unicode MS"/>
          <w:sz w:val="24"/>
          <w:szCs w:val="24"/>
        </w:rPr>
        <w:lastRenderedPageBreak/>
        <w:t>16. Lara APM, Volpe FM. Evolução do perfil das internaçõ</w:t>
      </w:r>
      <w:r w:rsidRPr="00B646C4">
        <w:rPr>
          <w:rStyle w:val="Nenhum"/>
          <w:rFonts w:ascii="Times New Roman" w:hAnsi="Times New Roman"/>
          <w:sz w:val="24"/>
          <w:szCs w:val="24"/>
          <w:shd w:val="clear" w:color="auto" w:fill="FFFFFF"/>
        </w:rPr>
        <w:t>es psiqui</w:t>
      </w:r>
      <w:r w:rsidRPr="00B646C4">
        <w:rPr>
          <w:rStyle w:val="Hyperlink0"/>
          <w:rFonts w:eastAsia="Arial Unicode MS"/>
          <w:sz w:val="24"/>
          <w:szCs w:val="24"/>
        </w:rPr>
        <w:t>átricas pelo Sistema Único de Saúde em Minas Gerais, Brasil, 2001-2013. Ci</w:t>
      </w:r>
      <w:r w:rsidRPr="00B646C4">
        <w:rPr>
          <w:rStyle w:val="Nenhum"/>
          <w:rFonts w:ascii="Times New Roman" w:hAnsi="Times New Roman"/>
          <w:sz w:val="24"/>
          <w:szCs w:val="24"/>
          <w:shd w:val="clear" w:color="auto" w:fill="FFFFFF"/>
        </w:rPr>
        <w:t>ê</w:t>
      </w:r>
      <w:r w:rsidRPr="00B646C4">
        <w:rPr>
          <w:rStyle w:val="Hyperlink0"/>
          <w:rFonts w:eastAsia="Arial Unicode MS"/>
          <w:sz w:val="24"/>
          <w:szCs w:val="24"/>
        </w:rPr>
        <w:t>nc. saúde colet. [Internet]. 2019 [accessed on 06 jun 2021]; 24(2). Available in: https://doi.org/10.1590/1413-81232018242.14652017.</w:t>
      </w:r>
    </w:p>
    <w:p w14:paraId="65AD3429"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40B6EDD3" w14:textId="77777777" w:rsidR="008F7A0F" w:rsidRPr="00B646C4" w:rsidRDefault="00111B74">
      <w:pPr>
        <w:pStyle w:val="PadroA"/>
        <w:jc w:val="both"/>
        <w:rPr>
          <w:rStyle w:val="Hyperlink2"/>
          <w:rFonts w:eastAsia="Arial Unicode MS"/>
          <w:sz w:val="24"/>
          <w:szCs w:val="24"/>
        </w:rPr>
      </w:pPr>
      <w:r w:rsidRPr="00B646C4">
        <w:rPr>
          <w:rStyle w:val="Hyperlink0"/>
          <w:rFonts w:eastAsia="Arial Unicode MS"/>
          <w:sz w:val="24"/>
          <w:szCs w:val="24"/>
        </w:rPr>
        <w:t>17. Gonçalves RW, Vieira FS, Delgado PGG. Política de Saúde Mental no Brasil: evolução do gasto federal entre 2001 e 2009. Rev. Saú</w:t>
      </w:r>
      <w:r w:rsidRPr="00B646C4">
        <w:rPr>
          <w:rStyle w:val="Nenhum"/>
          <w:rFonts w:ascii="Times New Roman" w:hAnsi="Times New Roman"/>
          <w:sz w:val="24"/>
          <w:szCs w:val="24"/>
          <w:shd w:val="clear" w:color="auto" w:fill="FFFFFF"/>
        </w:rPr>
        <w:t>de P</w:t>
      </w:r>
      <w:r w:rsidRPr="00B646C4">
        <w:rPr>
          <w:rStyle w:val="Hyperlink0"/>
          <w:rFonts w:eastAsia="Arial Unicode MS"/>
          <w:sz w:val="24"/>
          <w:szCs w:val="24"/>
        </w:rPr>
        <w:t>ública. [Internet]. 2012 [accessed on 01 jun 2021]; 46(1). Available in: https://doi.org/10.1590/S0034-89102011005000085.</w:t>
      </w:r>
    </w:p>
    <w:p w14:paraId="44CE84D4"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41CA964D" w14:textId="77777777" w:rsidR="008F7A0F" w:rsidRPr="00B646C4" w:rsidRDefault="00111B74">
      <w:pPr>
        <w:pStyle w:val="PadroA"/>
        <w:jc w:val="both"/>
        <w:rPr>
          <w:rStyle w:val="Hyperlink0"/>
          <w:rFonts w:eastAsia="Arial Unicode MS"/>
          <w:sz w:val="24"/>
          <w:szCs w:val="24"/>
        </w:rPr>
      </w:pPr>
      <w:r w:rsidRPr="00B646C4">
        <w:rPr>
          <w:rStyle w:val="Hyperlink0"/>
          <w:rFonts w:eastAsia="Arial Unicode MS"/>
          <w:sz w:val="24"/>
          <w:szCs w:val="24"/>
        </w:rPr>
        <w:t>18. Macedo JP, Dimenstein M. A reforma psiquiátrica em contextos perif</w:t>
      </w:r>
      <w:r w:rsidRPr="00B646C4">
        <w:rPr>
          <w:rStyle w:val="Nenhum"/>
          <w:rFonts w:ascii="Times New Roman" w:hAnsi="Times New Roman"/>
          <w:sz w:val="24"/>
          <w:szCs w:val="24"/>
          <w:shd w:val="clear" w:color="auto" w:fill="FFFFFF"/>
        </w:rPr>
        <w:t>é</w:t>
      </w:r>
      <w:r w:rsidRPr="00B646C4">
        <w:rPr>
          <w:rStyle w:val="Hyperlink0"/>
          <w:rFonts w:eastAsia="Arial Unicode MS"/>
          <w:sz w:val="24"/>
          <w:szCs w:val="24"/>
        </w:rPr>
        <w:t>ricos: o Piauí em análise. Memorandum: Mem</w:t>
      </w:r>
      <w:r w:rsidRPr="00B646C4">
        <w:rPr>
          <w:rStyle w:val="Nenhum"/>
          <w:rFonts w:ascii="Times New Roman" w:hAnsi="Times New Roman"/>
          <w:sz w:val="24"/>
          <w:szCs w:val="24"/>
          <w:shd w:val="clear" w:color="auto" w:fill="FFFFFF"/>
        </w:rPr>
        <w:t>ó</w:t>
      </w:r>
      <w:r w:rsidRPr="00B646C4">
        <w:rPr>
          <w:rStyle w:val="Hyperlink0"/>
          <w:rFonts w:eastAsia="Arial Unicode MS"/>
          <w:sz w:val="24"/>
          <w:szCs w:val="24"/>
        </w:rPr>
        <w:t>ria e Hist</w:t>
      </w:r>
      <w:r w:rsidRPr="00B646C4">
        <w:rPr>
          <w:rStyle w:val="Nenhum"/>
          <w:rFonts w:ascii="Times New Roman" w:hAnsi="Times New Roman"/>
          <w:sz w:val="24"/>
          <w:szCs w:val="24"/>
          <w:shd w:val="clear" w:color="auto" w:fill="FFFFFF"/>
        </w:rPr>
        <w:t>ó</w:t>
      </w:r>
      <w:r w:rsidRPr="00B646C4">
        <w:rPr>
          <w:rStyle w:val="Hyperlink0"/>
          <w:rFonts w:eastAsia="Arial Unicode MS"/>
          <w:sz w:val="24"/>
          <w:szCs w:val="24"/>
        </w:rPr>
        <w:t xml:space="preserve">ria em Psicologia. [Internet]. 2012 [accessed on 30 may 2021]; 22. Available in: https://periodicos.ufmg.br/index.php/memorandum/article/view/6595. </w:t>
      </w:r>
    </w:p>
    <w:p w14:paraId="13F4E749" w14:textId="77777777" w:rsidR="008F7A0F" w:rsidRPr="00B646C4" w:rsidRDefault="008F7A0F">
      <w:pPr>
        <w:pStyle w:val="PadroA"/>
        <w:jc w:val="both"/>
        <w:rPr>
          <w:rStyle w:val="Nenhum"/>
          <w:rFonts w:ascii="Times New Roman" w:eastAsia="Times New Roman" w:hAnsi="Times New Roman" w:cs="Times New Roman"/>
          <w:sz w:val="24"/>
          <w:szCs w:val="24"/>
          <w:shd w:val="clear" w:color="auto" w:fill="FFFFFF"/>
        </w:rPr>
      </w:pPr>
    </w:p>
    <w:p w14:paraId="355990CB" w14:textId="77777777" w:rsidR="008F7A0F" w:rsidRPr="00B646C4" w:rsidRDefault="00111B74">
      <w:pPr>
        <w:pStyle w:val="PadroA"/>
        <w:jc w:val="both"/>
        <w:rPr>
          <w:rStyle w:val="Nenhum"/>
          <w:rFonts w:ascii="Times New Roman" w:eastAsia="Times New Roman" w:hAnsi="Times New Roman" w:cs="Times New Roman"/>
          <w:sz w:val="24"/>
          <w:szCs w:val="24"/>
          <w:shd w:val="clear" w:color="auto" w:fill="FFFFFF"/>
        </w:rPr>
      </w:pPr>
      <w:r w:rsidRPr="00B646C4">
        <w:rPr>
          <w:rStyle w:val="Nenhum"/>
          <w:rFonts w:ascii="Times New Roman" w:hAnsi="Times New Roman"/>
          <w:sz w:val="24"/>
          <w:szCs w:val="24"/>
        </w:rPr>
        <w:t xml:space="preserve">19. </w:t>
      </w:r>
      <w:r w:rsidRPr="00B646C4">
        <w:rPr>
          <w:rFonts w:ascii="Times New Roman" w:hAnsi="Times New Roman"/>
          <w:sz w:val="24"/>
          <w:szCs w:val="24"/>
        </w:rPr>
        <w:t xml:space="preserve">Moniz ASB, MRS da, Devos ELB, Lourenção LG. Perfil de usuários e familiares de serviço psiquiátrico de Cabo Verde – África. Cogitare enferm. [Internet]. 2019 [accessed on 25 may 2022]; 24. Available in: </w:t>
      </w:r>
      <w:hyperlink r:id="rId10" w:history="1">
        <w:r w:rsidRPr="00B646C4">
          <w:rPr>
            <w:rStyle w:val="Hyperlink1"/>
            <w:rFonts w:ascii="Times New Roman" w:hAnsi="Times New Roman"/>
            <w:sz w:val="24"/>
            <w:szCs w:val="24"/>
          </w:rPr>
          <w:t>https://dx.doi.org/10.5380/ce.v24i0.59756</w:t>
        </w:r>
      </w:hyperlink>
      <w:r w:rsidRPr="00B646C4">
        <w:rPr>
          <w:rFonts w:ascii="Times New Roman" w:hAnsi="Times New Roman"/>
          <w:sz w:val="24"/>
          <w:szCs w:val="24"/>
        </w:rPr>
        <w:t>.</w:t>
      </w:r>
      <w:r w:rsidRPr="00B646C4">
        <w:rPr>
          <w:rFonts w:ascii="Times New Roman" w:hAnsi="Times New Roman"/>
          <w:sz w:val="24"/>
          <w:szCs w:val="24"/>
          <w:shd w:val="clear" w:color="auto" w:fill="00FA92"/>
        </w:rPr>
        <w:t xml:space="preserve"> </w:t>
      </w:r>
    </w:p>
    <w:p w14:paraId="48149B34" w14:textId="77777777" w:rsidR="008F7A0F" w:rsidRPr="00B646C4" w:rsidRDefault="008F7A0F">
      <w:pPr>
        <w:pStyle w:val="PadroA"/>
        <w:jc w:val="both"/>
        <w:rPr>
          <w:rStyle w:val="Hyperlink0"/>
          <w:rFonts w:eastAsia="Arial Unicode MS"/>
          <w:sz w:val="24"/>
          <w:szCs w:val="24"/>
        </w:rPr>
      </w:pPr>
    </w:p>
    <w:p w14:paraId="59930377" w14:textId="77777777" w:rsidR="008F7A0F" w:rsidRPr="00B646C4" w:rsidRDefault="00111B74">
      <w:pPr>
        <w:pStyle w:val="PadroA"/>
        <w:jc w:val="both"/>
        <w:rPr>
          <w:rStyle w:val="Nenhum"/>
          <w:rFonts w:ascii="Times New Roman" w:eastAsia="Times New Roman" w:hAnsi="Times New Roman" w:cs="Times New Roman"/>
          <w:sz w:val="24"/>
          <w:szCs w:val="24"/>
          <w:shd w:val="clear" w:color="auto" w:fill="FFFFFF"/>
        </w:rPr>
      </w:pPr>
      <w:r w:rsidRPr="00B646C4">
        <w:rPr>
          <w:rStyle w:val="Nenhum"/>
          <w:rFonts w:ascii="Times New Roman" w:hAnsi="Times New Roman"/>
          <w:sz w:val="24"/>
          <w:szCs w:val="24"/>
        </w:rPr>
        <w:t xml:space="preserve">20. Hiany N, Vieira MA, Gusmão ROM, Barbosa SF. Perfil epidemiológico dos transtornos mentais na população adulta no Brasil: uma revisão integrativa. Rev. Enferm. Atual In Derme [Internet]. 2020 [accessed on 25 may 2022]; 86(24). Available in: </w:t>
      </w:r>
      <w:r w:rsidRPr="00B646C4">
        <w:rPr>
          <w:rStyle w:val="Hyperlink1"/>
          <w:rFonts w:ascii="Times New Roman" w:hAnsi="Times New Roman"/>
          <w:sz w:val="24"/>
          <w:szCs w:val="24"/>
        </w:rPr>
        <w:t>https://www.revistaenfermagematual.com.br/index.php/revista/article/view/676</w:t>
      </w:r>
      <w:r w:rsidRPr="00B646C4">
        <w:rPr>
          <w:rStyle w:val="Nenhum"/>
          <w:rFonts w:ascii="Times New Roman" w:hAnsi="Times New Roman"/>
          <w:sz w:val="24"/>
          <w:szCs w:val="24"/>
        </w:rPr>
        <w:t>.</w:t>
      </w:r>
    </w:p>
    <w:p w14:paraId="77F8C372"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1D6ED6BD" w14:textId="2D99E212" w:rsidR="008F7A0F" w:rsidRPr="00B646C4" w:rsidRDefault="00111B74">
      <w:pPr>
        <w:pStyle w:val="PadroA"/>
        <w:jc w:val="both"/>
        <w:rPr>
          <w:rStyle w:val="Hyperlink0"/>
          <w:rFonts w:eastAsia="Arial Unicode MS"/>
          <w:sz w:val="24"/>
          <w:szCs w:val="24"/>
        </w:rPr>
      </w:pPr>
      <w:r w:rsidRPr="00B646C4">
        <w:rPr>
          <w:rStyle w:val="Hyperlink2"/>
          <w:rFonts w:eastAsia="Arial Unicode MS"/>
          <w:sz w:val="24"/>
          <w:szCs w:val="24"/>
        </w:rPr>
        <w:t>21</w:t>
      </w:r>
      <w:r w:rsidRPr="00B646C4">
        <w:rPr>
          <w:rStyle w:val="Hyperlink0"/>
          <w:rFonts w:eastAsia="Arial Unicode MS"/>
          <w:sz w:val="24"/>
          <w:szCs w:val="24"/>
        </w:rPr>
        <w:t xml:space="preserve">. Santos VC, Anjos KF dos, Boery RNS de O, Moreira RM, Cruz DP, Boery EN. Internação e mortalidade hospitalar de idosos por transtornos mentais e comportamentais no Brasil, 2008-2014. </w:t>
      </w:r>
      <w:r w:rsidRPr="00B646C4">
        <w:rPr>
          <w:rStyle w:val="Nenhum"/>
          <w:rFonts w:ascii="Times New Roman" w:hAnsi="Times New Roman"/>
          <w:sz w:val="24"/>
          <w:szCs w:val="24"/>
          <w:shd w:val="clear" w:color="auto" w:fill="FFFFFF"/>
        </w:rPr>
        <w:t>Epidemiol. Serv. Saude</w:t>
      </w:r>
      <w:r w:rsidRPr="00B646C4">
        <w:rPr>
          <w:rStyle w:val="Hyperlink0"/>
          <w:rFonts w:eastAsia="Arial Unicode MS"/>
          <w:sz w:val="24"/>
          <w:szCs w:val="24"/>
        </w:rPr>
        <w:t>. [Internet]. 2017 [accessed on 14 jun 2021]; 26(1). Available in: https://doi.org/10.5123/S1679-49742017000100005.</w:t>
      </w:r>
    </w:p>
    <w:p w14:paraId="4030E0E9" w14:textId="77777777" w:rsidR="008F7A0F" w:rsidRPr="00B646C4" w:rsidRDefault="008F7A0F">
      <w:pPr>
        <w:pStyle w:val="PadroA"/>
        <w:jc w:val="both"/>
        <w:rPr>
          <w:rStyle w:val="Hyperlink0"/>
          <w:rFonts w:eastAsia="Arial Unicode MS"/>
          <w:sz w:val="24"/>
          <w:szCs w:val="24"/>
        </w:rPr>
      </w:pPr>
    </w:p>
    <w:p w14:paraId="2E3112BA" w14:textId="77777777" w:rsidR="008F7A0F" w:rsidRPr="00B646C4" w:rsidRDefault="00111B74">
      <w:pPr>
        <w:pStyle w:val="PadroA"/>
        <w:jc w:val="both"/>
        <w:rPr>
          <w:rStyle w:val="Hyperlink0"/>
          <w:rFonts w:eastAsia="Arial Unicode MS"/>
          <w:sz w:val="24"/>
          <w:szCs w:val="24"/>
        </w:rPr>
      </w:pPr>
      <w:r w:rsidRPr="00B646C4">
        <w:rPr>
          <w:rStyle w:val="Nenhum"/>
          <w:rFonts w:ascii="Times New Roman" w:hAnsi="Times New Roman"/>
          <w:sz w:val="24"/>
          <w:szCs w:val="24"/>
        </w:rPr>
        <w:t xml:space="preserve">22. Bibiano AMB, Moreira RS, Oliveira MMG de, Silva VL. Fatores associados à utilização dos serviços de saúde por homens idosos: uma revisão sistemática da literatura. Ciência &amp; Saúde Coletiva. [Internet]. 2019 [accessed on 25 may 2022]; 24(6). Available in: </w:t>
      </w:r>
      <w:r w:rsidRPr="00B646C4">
        <w:rPr>
          <w:rStyle w:val="Hyperlink3"/>
          <w:rFonts w:eastAsia="Arial Unicode MS"/>
          <w:sz w:val="24"/>
          <w:szCs w:val="24"/>
        </w:rPr>
        <w:t>https://doi.org/10.1590/1413-81232018246.19552017</w:t>
      </w:r>
      <w:r w:rsidRPr="00B646C4">
        <w:rPr>
          <w:rStyle w:val="Nenhum"/>
          <w:rFonts w:ascii="Times New Roman" w:hAnsi="Times New Roman"/>
          <w:sz w:val="24"/>
          <w:szCs w:val="24"/>
        </w:rPr>
        <w:t>.</w:t>
      </w:r>
    </w:p>
    <w:p w14:paraId="2BA8395F"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6FADB625" w14:textId="77777777" w:rsidR="008F7A0F" w:rsidRPr="00B646C4" w:rsidRDefault="00111B74">
      <w:pPr>
        <w:pStyle w:val="PadroA"/>
        <w:jc w:val="both"/>
        <w:rPr>
          <w:rStyle w:val="Hyperlink2"/>
          <w:rFonts w:eastAsia="Arial Unicode MS"/>
          <w:sz w:val="24"/>
          <w:szCs w:val="24"/>
        </w:rPr>
      </w:pPr>
      <w:r w:rsidRPr="00B646C4">
        <w:rPr>
          <w:rStyle w:val="Hyperlink2"/>
          <w:rFonts w:eastAsia="Arial Unicode MS"/>
          <w:sz w:val="24"/>
          <w:szCs w:val="24"/>
        </w:rPr>
        <w:t>23</w:t>
      </w:r>
      <w:r w:rsidRPr="00B646C4">
        <w:rPr>
          <w:rStyle w:val="Nenhum"/>
          <w:rFonts w:ascii="Times New Roman" w:hAnsi="Times New Roman"/>
          <w:sz w:val="24"/>
          <w:szCs w:val="24"/>
          <w:shd w:val="clear" w:color="auto" w:fill="FFFFFF"/>
        </w:rPr>
        <w:t xml:space="preserve">. Rezaian MK, Rahmani A, Mohaneri F, Moghadam HK. Epidemiology of psychiatric disorders: the situation of Mashhad city during 2010-2016. Journal of Fundamentals of Mental Health. [Internet]. 2017 [accessed on 14 jun 2021]; 19(6). </w:t>
      </w:r>
      <w:r w:rsidRPr="00B646C4">
        <w:rPr>
          <w:rStyle w:val="Hyperlink0"/>
          <w:rFonts w:eastAsia="Arial Unicode MS"/>
          <w:sz w:val="24"/>
          <w:szCs w:val="24"/>
        </w:rPr>
        <w:t>Available in: https://doi.org/10.22038/JFMH.2017.9557.</w:t>
      </w:r>
    </w:p>
    <w:p w14:paraId="763191F7"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66B9998E" w14:textId="77777777" w:rsidR="008F7A0F" w:rsidRPr="00B646C4" w:rsidRDefault="00111B74">
      <w:pPr>
        <w:pStyle w:val="PadroA"/>
        <w:jc w:val="both"/>
        <w:rPr>
          <w:rStyle w:val="Hyperlink2"/>
          <w:rFonts w:eastAsia="Arial Unicode MS"/>
          <w:sz w:val="24"/>
          <w:szCs w:val="24"/>
        </w:rPr>
      </w:pPr>
      <w:r w:rsidRPr="00B646C4">
        <w:rPr>
          <w:rStyle w:val="Hyperlink2"/>
          <w:rFonts w:eastAsia="Arial Unicode MS"/>
          <w:sz w:val="24"/>
          <w:szCs w:val="24"/>
        </w:rPr>
        <w:t>24</w:t>
      </w:r>
      <w:r w:rsidRPr="00B646C4">
        <w:rPr>
          <w:rStyle w:val="Hyperlink0"/>
          <w:rFonts w:eastAsia="Arial Unicode MS"/>
          <w:sz w:val="24"/>
          <w:szCs w:val="24"/>
        </w:rPr>
        <w:t>. Ministério da Saúde (BR). Portaria Nº 2.840, de 29 de dezembro de 2014. Cria o Programa de Desinstitucionalizaçã</w:t>
      </w:r>
      <w:r w:rsidRPr="00B646C4">
        <w:rPr>
          <w:rStyle w:val="Nenhum"/>
          <w:rFonts w:ascii="Times New Roman" w:hAnsi="Times New Roman"/>
          <w:sz w:val="24"/>
          <w:szCs w:val="24"/>
          <w:shd w:val="clear" w:color="auto" w:fill="FFFFFF"/>
        </w:rPr>
        <w:t>o integrante do</w:t>
      </w:r>
      <w:r w:rsidRPr="00B646C4">
        <w:rPr>
          <w:rStyle w:val="Hyperlink0"/>
          <w:rFonts w:eastAsia="Arial Unicode MS"/>
          <w:sz w:val="24"/>
          <w:szCs w:val="24"/>
        </w:rPr>
        <w:t xml:space="preserve"> componente Estrat</w:t>
      </w:r>
      <w:r w:rsidRPr="00B646C4">
        <w:rPr>
          <w:rStyle w:val="Nenhum"/>
          <w:rFonts w:ascii="Times New Roman" w:hAnsi="Times New Roman"/>
          <w:sz w:val="24"/>
          <w:szCs w:val="24"/>
          <w:shd w:val="clear" w:color="auto" w:fill="FFFFFF"/>
        </w:rPr>
        <w:t>é</w:t>
      </w:r>
      <w:r w:rsidRPr="00B646C4">
        <w:rPr>
          <w:rStyle w:val="Hyperlink0"/>
          <w:rFonts w:eastAsia="Arial Unicode MS"/>
          <w:sz w:val="24"/>
          <w:szCs w:val="24"/>
        </w:rPr>
        <w:t>gias de Desinstitucionalização da Rede de Atenção Psicossocial (RAPS), no âmbito do Sistema Único de Saúde (SUS), e institui o respectivo incentivo financeiro de custeio mensal. [Internet] Brasília: Ministério da Saúde; 2014 [accessed on 14 de jun 2021]. Available in: https://bvsms.saude.gov.br/bvs/saudelegis/gm/2014/prt2840_29_12_2014.html.</w:t>
      </w:r>
    </w:p>
    <w:p w14:paraId="7944BAEB"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5CC3BD82" w14:textId="77777777" w:rsidR="008F7A0F" w:rsidRPr="00B646C4" w:rsidRDefault="00111B74">
      <w:pPr>
        <w:pStyle w:val="PadroA"/>
        <w:jc w:val="both"/>
        <w:rPr>
          <w:rStyle w:val="Hyperlink2"/>
          <w:rFonts w:eastAsia="Arial Unicode MS"/>
          <w:sz w:val="24"/>
          <w:szCs w:val="24"/>
        </w:rPr>
      </w:pPr>
      <w:r w:rsidRPr="00B646C4">
        <w:rPr>
          <w:rStyle w:val="Hyperlink2"/>
          <w:rFonts w:eastAsia="Arial Unicode MS"/>
          <w:sz w:val="24"/>
          <w:szCs w:val="24"/>
        </w:rPr>
        <w:lastRenderedPageBreak/>
        <w:t xml:space="preserve">25. Cruz NF de O, Gonçalves RW, Delgado PGG. Retrocesso da reforma psiquiátrica: o desmonte da política nacional de saúde mental brasileira de 2016 a 2019. Trab. educ. saúde. [Internet]. 2020 [accessed on 14 jun 2021]; 18(3). Available in: https://doi.org/10.1590/1981-7746-sol00285. </w:t>
      </w:r>
    </w:p>
    <w:p w14:paraId="5C4A130B"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20C97FA3" w14:textId="77777777" w:rsidR="008F7A0F" w:rsidRPr="00B646C4" w:rsidRDefault="00111B74">
      <w:pPr>
        <w:pStyle w:val="PadroA"/>
        <w:jc w:val="both"/>
        <w:rPr>
          <w:rStyle w:val="Hyperlink2"/>
          <w:rFonts w:eastAsia="Arial Unicode MS"/>
          <w:sz w:val="24"/>
          <w:szCs w:val="24"/>
        </w:rPr>
      </w:pPr>
      <w:r w:rsidRPr="00B646C4">
        <w:rPr>
          <w:rStyle w:val="Hyperlink0"/>
          <w:rFonts w:eastAsia="Arial Unicode MS"/>
          <w:sz w:val="24"/>
          <w:szCs w:val="24"/>
        </w:rPr>
        <w:t xml:space="preserve">26. Ministério da Saúde (BR). Resolução Nº 32, de 14 de dezembro de 2017. Estabelece as Diretrizes para o Fortalecimento da Rede de Atenção Psicossocial (RAPS). [Internet] Brasília: </w:t>
      </w:r>
      <w:r w:rsidRPr="00B646C4">
        <w:rPr>
          <w:rStyle w:val="Nenhum"/>
          <w:rFonts w:ascii="Times New Roman" w:hAnsi="Times New Roman"/>
          <w:sz w:val="24"/>
          <w:szCs w:val="24"/>
          <w:shd w:val="clear" w:color="auto" w:fill="FFFFFF"/>
        </w:rPr>
        <w:t>Di</w:t>
      </w:r>
      <w:r w:rsidRPr="00B646C4">
        <w:rPr>
          <w:rStyle w:val="Hyperlink0"/>
          <w:rFonts w:eastAsia="Arial Unicode MS"/>
          <w:sz w:val="24"/>
          <w:szCs w:val="24"/>
        </w:rPr>
        <w:t>ário Oficial da União; 2017 [accessed on 14 jun 2021]. Available in: https://portalarquivos2.saude.gov.br/images/pdf/2018/janeiro/05/Resolu----o-CIT-n---32.pdf.</w:t>
      </w:r>
    </w:p>
    <w:p w14:paraId="6D32669B"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419732B5" w14:textId="77777777" w:rsidR="008F7A0F" w:rsidRPr="00B646C4" w:rsidRDefault="00111B74">
      <w:pPr>
        <w:pStyle w:val="PadroA"/>
        <w:jc w:val="both"/>
        <w:rPr>
          <w:rStyle w:val="Hyperlink2"/>
          <w:rFonts w:eastAsia="Arial Unicode MS"/>
          <w:sz w:val="24"/>
          <w:szCs w:val="24"/>
        </w:rPr>
      </w:pPr>
      <w:r w:rsidRPr="00B646C4">
        <w:rPr>
          <w:rStyle w:val="Hyperlink0"/>
          <w:rFonts w:eastAsia="Arial Unicode MS"/>
          <w:sz w:val="24"/>
          <w:szCs w:val="24"/>
        </w:rPr>
        <w:t>27. Brasil. Minist</w:t>
      </w:r>
      <w:r w:rsidRPr="00B646C4">
        <w:rPr>
          <w:rStyle w:val="Nenhum"/>
          <w:rFonts w:ascii="Times New Roman" w:hAnsi="Times New Roman"/>
          <w:sz w:val="24"/>
          <w:szCs w:val="24"/>
          <w:shd w:val="clear" w:color="auto" w:fill="FFFFFF"/>
        </w:rPr>
        <w:t>é</w:t>
      </w:r>
      <w:r w:rsidRPr="00B646C4">
        <w:rPr>
          <w:rStyle w:val="Hyperlink0"/>
          <w:rFonts w:eastAsia="Arial Unicode MS"/>
          <w:sz w:val="24"/>
          <w:szCs w:val="24"/>
        </w:rPr>
        <w:t>rio da Saúde. Portaria Nº 3.588, de 21 de dezembro de 2017. Altera as portarias de consolidação Nº</w:t>
      </w:r>
      <w:r w:rsidRPr="00B646C4">
        <w:rPr>
          <w:rStyle w:val="Nenhum"/>
          <w:rFonts w:ascii="Times New Roman" w:hAnsi="Times New Roman"/>
          <w:sz w:val="24"/>
          <w:szCs w:val="24"/>
          <w:shd w:val="clear" w:color="auto" w:fill="FFFFFF"/>
        </w:rPr>
        <w:t xml:space="preserve"> 3 e </w:t>
      </w:r>
      <w:r w:rsidRPr="00B646C4">
        <w:rPr>
          <w:rStyle w:val="Hyperlink0"/>
          <w:rFonts w:eastAsia="Arial Unicode MS"/>
          <w:sz w:val="24"/>
          <w:szCs w:val="24"/>
        </w:rPr>
        <w:t>Nº 6, de 28 de setembro de 2017, para dispor sobre a Rede de Atenção Psicossocial, e dá outras provid</w:t>
      </w:r>
      <w:r w:rsidRPr="00B646C4">
        <w:rPr>
          <w:rStyle w:val="Nenhum"/>
          <w:rFonts w:ascii="Times New Roman" w:hAnsi="Times New Roman"/>
          <w:sz w:val="24"/>
          <w:szCs w:val="24"/>
          <w:shd w:val="clear" w:color="auto" w:fill="FFFFFF"/>
        </w:rPr>
        <w:t>ê</w:t>
      </w:r>
      <w:r w:rsidRPr="00B646C4">
        <w:rPr>
          <w:rStyle w:val="Hyperlink0"/>
          <w:rFonts w:eastAsia="Arial Unicode MS"/>
          <w:sz w:val="24"/>
          <w:szCs w:val="24"/>
        </w:rPr>
        <w:t xml:space="preserve">ncias. [Internet]. Brasília: Ministério da Saúde; 2017 [accessed on 14 jun 2021]. </w:t>
      </w:r>
      <w:r w:rsidRPr="00B646C4">
        <w:rPr>
          <w:rStyle w:val="Nenhum"/>
          <w:rFonts w:ascii="Times New Roman" w:hAnsi="Times New Roman"/>
          <w:sz w:val="24"/>
          <w:szCs w:val="24"/>
          <w:shd w:val="clear" w:color="auto" w:fill="FFFFFF"/>
        </w:rPr>
        <w:t xml:space="preserve">Available in: </w:t>
      </w:r>
      <w:hyperlink r:id="rId11" w:history="1">
        <w:r w:rsidRPr="00B646C4">
          <w:rPr>
            <w:rStyle w:val="Hyperlink0"/>
            <w:rFonts w:eastAsia="Arial Unicode MS"/>
            <w:sz w:val="24"/>
            <w:szCs w:val="24"/>
          </w:rPr>
          <w:t>http://bvsms.saude.gov.br/bvs/saudelegis/gm/2017/prt3588_22_12_2017.html</w:t>
        </w:r>
      </w:hyperlink>
      <w:r w:rsidRPr="00B646C4">
        <w:rPr>
          <w:rStyle w:val="Hyperlink0"/>
          <w:rFonts w:eastAsia="Arial Unicode MS"/>
          <w:sz w:val="24"/>
          <w:szCs w:val="24"/>
        </w:rPr>
        <w:t>.</w:t>
      </w:r>
    </w:p>
    <w:p w14:paraId="608120E5" w14:textId="77777777" w:rsidR="008F7A0F" w:rsidRPr="00B646C4" w:rsidRDefault="008F7A0F">
      <w:pPr>
        <w:pStyle w:val="PadroA"/>
        <w:jc w:val="both"/>
        <w:rPr>
          <w:rFonts w:ascii="Times New Roman" w:eastAsia="Times New Roman" w:hAnsi="Times New Roman" w:cs="Times New Roman"/>
          <w:sz w:val="24"/>
          <w:szCs w:val="24"/>
          <w:shd w:val="clear" w:color="auto" w:fill="FFFFFF"/>
        </w:rPr>
      </w:pPr>
    </w:p>
    <w:p w14:paraId="54D7D48C" w14:textId="77777777" w:rsidR="008F7A0F" w:rsidRPr="00B646C4" w:rsidRDefault="00111B74">
      <w:pPr>
        <w:pStyle w:val="PadroA"/>
        <w:jc w:val="both"/>
        <w:rPr>
          <w:rStyle w:val="Hyperlink2"/>
          <w:rFonts w:eastAsia="Arial Unicode MS"/>
          <w:sz w:val="24"/>
          <w:szCs w:val="24"/>
        </w:rPr>
      </w:pPr>
      <w:r w:rsidRPr="00B646C4">
        <w:rPr>
          <w:rStyle w:val="Hyperlink2"/>
          <w:rFonts w:eastAsia="Arial Unicode MS"/>
          <w:sz w:val="24"/>
          <w:szCs w:val="24"/>
        </w:rPr>
        <w:t xml:space="preserve">28. Ministério da Saúde (BR). Nota técnica Nº 11/2019-CGMAD/DAPES/SAS/MS. Esclarecimentos sobre as mudanças na Política Nacional de Saúde Mental e nas Diretrizes da Política Nacional sobre Drogas. [Internet] Brasília: Ministério da Saúde; 2019 [accessed on 14 jun 2021]. Available in: </w:t>
      </w:r>
      <w:hyperlink r:id="rId12" w:history="1">
        <w:r w:rsidRPr="00B646C4">
          <w:rPr>
            <w:rStyle w:val="Hyperlink2"/>
            <w:rFonts w:eastAsia="Arial Unicode MS"/>
            <w:sz w:val="24"/>
            <w:szCs w:val="24"/>
          </w:rPr>
          <w:t>https://pbpd.org.br/wp-content/uploads/2019/02/0656ad6e.pdf</w:t>
        </w:r>
      </w:hyperlink>
      <w:r w:rsidRPr="00B646C4">
        <w:rPr>
          <w:rStyle w:val="Hyperlink2"/>
          <w:rFonts w:eastAsia="Arial Unicode MS"/>
          <w:sz w:val="24"/>
          <w:szCs w:val="24"/>
        </w:rPr>
        <w:t>.</w:t>
      </w:r>
    </w:p>
    <w:p w14:paraId="7701D327" w14:textId="77777777" w:rsidR="008F7A0F" w:rsidRPr="00B646C4" w:rsidRDefault="008F7A0F">
      <w:pPr>
        <w:pStyle w:val="PadroA"/>
        <w:jc w:val="both"/>
        <w:rPr>
          <w:rStyle w:val="Hyperlink2"/>
          <w:rFonts w:eastAsia="Arial Unicode MS"/>
          <w:sz w:val="24"/>
          <w:szCs w:val="24"/>
        </w:rPr>
      </w:pPr>
    </w:p>
    <w:p w14:paraId="1C0E6646" w14:textId="77777777" w:rsidR="008F7A0F" w:rsidRPr="00B646C4" w:rsidRDefault="00111B74">
      <w:pPr>
        <w:pStyle w:val="PadroA"/>
        <w:jc w:val="both"/>
        <w:rPr>
          <w:rStyle w:val="Hyperlink2"/>
          <w:rFonts w:eastAsia="Arial Unicode MS"/>
          <w:sz w:val="24"/>
          <w:szCs w:val="24"/>
        </w:rPr>
      </w:pPr>
      <w:r w:rsidRPr="00B646C4">
        <w:rPr>
          <w:rStyle w:val="Nenhum"/>
          <w:rFonts w:ascii="Times New Roman" w:hAnsi="Times New Roman"/>
          <w:sz w:val="24"/>
          <w:szCs w:val="24"/>
        </w:rPr>
        <w:t xml:space="preserve">29. Dias BM, Badagnan HF, Marchetti SP, Zanetti ACB. Gastos com internações psiquiátricas no estado de São Paulo: estudo ecológico descritivo, 2014 e 2019. Epidemiol. Serv. Saude. [Internet]. 2021 [accessed on 25 may 2022]; 30(2). Available in: </w:t>
      </w:r>
      <w:hyperlink r:id="rId13" w:history="1">
        <w:r w:rsidRPr="00B646C4">
          <w:rPr>
            <w:rStyle w:val="Hyperlink3"/>
            <w:rFonts w:eastAsia="Arial Unicode MS"/>
            <w:sz w:val="24"/>
            <w:szCs w:val="24"/>
          </w:rPr>
          <w:t>https://doi.org/10.1590/S1679-49742021000200024</w:t>
        </w:r>
      </w:hyperlink>
      <w:r w:rsidRPr="00B646C4">
        <w:rPr>
          <w:rStyle w:val="Nenhum"/>
          <w:rFonts w:ascii="Times New Roman" w:hAnsi="Times New Roman"/>
          <w:sz w:val="24"/>
          <w:szCs w:val="24"/>
        </w:rPr>
        <w:t>.</w:t>
      </w:r>
    </w:p>
    <w:p w14:paraId="6F763C81" w14:textId="77777777" w:rsidR="008F7A0F" w:rsidRPr="00B646C4" w:rsidRDefault="008F7A0F">
      <w:pPr>
        <w:pStyle w:val="PadroA"/>
        <w:jc w:val="both"/>
        <w:rPr>
          <w:rStyle w:val="Hyperlink2"/>
          <w:rFonts w:eastAsia="Arial Unicode MS"/>
          <w:sz w:val="24"/>
          <w:szCs w:val="24"/>
        </w:rPr>
      </w:pPr>
    </w:p>
    <w:p w14:paraId="25FC2018" w14:textId="77777777" w:rsidR="008F7A0F" w:rsidRPr="00B646C4" w:rsidRDefault="00111B74">
      <w:pPr>
        <w:pStyle w:val="PadroA"/>
        <w:jc w:val="both"/>
      </w:pPr>
      <w:r w:rsidRPr="00B646C4">
        <w:rPr>
          <w:rFonts w:ascii="Times New Roman" w:hAnsi="Times New Roman"/>
          <w:sz w:val="24"/>
          <w:szCs w:val="24"/>
        </w:rPr>
        <w:t xml:space="preserve">30. Yano KM, Prado SI, Couto W, Zucchi P, Novaes MAP de. Limitações no uso do DATASUS como fonte de dados de pesquisas científicas. Revista Multidisciplinar Em Saúde. [Internet]. 2021 [accessed on 25 may 2022]; </w:t>
      </w:r>
      <w:r w:rsidRPr="00B646C4">
        <w:rPr>
          <w:rStyle w:val="Nenhum"/>
          <w:rFonts w:ascii="Times New Roman" w:hAnsi="Times New Roman"/>
          <w:i/>
          <w:iCs/>
          <w:sz w:val="24"/>
          <w:szCs w:val="24"/>
        </w:rPr>
        <w:t>2</w:t>
      </w:r>
      <w:r w:rsidRPr="00B646C4">
        <w:rPr>
          <w:rFonts w:ascii="Times New Roman" w:hAnsi="Times New Roman"/>
          <w:sz w:val="24"/>
          <w:szCs w:val="24"/>
        </w:rPr>
        <w:t xml:space="preserve">(4). Available in: </w:t>
      </w:r>
      <w:hyperlink r:id="rId14" w:history="1">
        <w:r w:rsidRPr="00B646C4">
          <w:rPr>
            <w:rStyle w:val="Hyperlink1"/>
            <w:rFonts w:ascii="Times New Roman" w:hAnsi="Times New Roman"/>
            <w:sz w:val="24"/>
            <w:szCs w:val="24"/>
          </w:rPr>
          <w:t>https://doi.org/10.51161/rems/2780</w:t>
        </w:r>
      </w:hyperlink>
      <w:r w:rsidRPr="00B646C4">
        <w:rPr>
          <w:rFonts w:ascii="Times New Roman" w:hAnsi="Times New Roman"/>
          <w:sz w:val="24"/>
          <w:szCs w:val="24"/>
        </w:rPr>
        <w:t>.</w:t>
      </w:r>
    </w:p>
    <w:sectPr w:rsidR="008F7A0F" w:rsidRPr="00B646C4">
      <w:headerReference w:type="default" r:id="rId15"/>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42D94" w14:textId="77777777" w:rsidR="001D3538" w:rsidRDefault="001D3538">
      <w:r>
        <w:separator/>
      </w:r>
    </w:p>
  </w:endnote>
  <w:endnote w:type="continuationSeparator" w:id="0">
    <w:p w14:paraId="42E49A22" w14:textId="77777777" w:rsidR="001D3538" w:rsidRDefault="001D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571C9" w14:textId="77777777" w:rsidR="001D3538" w:rsidRDefault="001D3538">
      <w:r>
        <w:separator/>
      </w:r>
    </w:p>
  </w:footnote>
  <w:footnote w:type="continuationSeparator" w:id="0">
    <w:p w14:paraId="19D1CD68" w14:textId="77777777" w:rsidR="001D3538" w:rsidRDefault="001D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8F82" w14:textId="77777777" w:rsidR="008F7A0F" w:rsidRDefault="00111B74">
    <w:pPr>
      <w:pStyle w:val="CorpoA"/>
      <w:tabs>
        <w:tab w:val="center" w:pos="4252"/>
        <w:tab w:val="right" w:pos="8504"/>
      </w:tabs>
      <w:spacing w:line="240" w:lineRule="auto"/>
    </w:pPr>
    <w:r>
      <w:rPr>
        <w:noProof/>
        <w:lang w:val="es-AR" w:eastAsia="es-AR"/>
      </w:rPr>
      <w:drawing>
        <wp:inline distT="0" distB="0" distL="0" distR="0" wp14:anchorId="6E781A80" wp14:editId="109D928B">
          <wp:extent cx="5755640" cy="1151128"/>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5755640" cy="115112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0F"/>
    <w:rsid w:val="0009064E"/>
    <w:rsid w:val="00091263"/>
    <w:rsid w:val="00111B74"/>
    <w:rsid w:val="0012750D"/>
    <w:rsid w:val="00194AC8"/>
    <w:rsid w:val="001D3538"/>
    <w:rsid w:val="002D5B09"/>
    <w:rsid w:val="00393C96"/>
    <w:rsid w:val="003E6D1C"/>
    <w:rsid w:val="0048517F"/>
    <w:rsid w:val="006627E0"/>
    <w:rsid w:val="006B5E84"/>
    <w:rsid w:val="006D7781"/>
    <w:rsid w:val="00727569"/>
    <w:rsid w:val="007A6F76"/>
    <w:rsid w:val="008F7A0F"/>
    <w:rsid w:val="00A6788D"/>
    <w:rsid w:val="00A87918"/>
    <w:rsid w:val="00B047DE"/>
    <w:rsid w:val="00B12F7F"/>
    <w:rsid w:val="00B646C4"/>
    <w:rsid w:val="00BA5DB4"/>
    <w:rsid w:val="00C36C96"/>
    <w:rsid w:val="00D75912"/>
    <w:rsid w:val="00DE3DA8"/>
    <w:rsid w:val="00E77F63"/>
    <w:rsid w:val="00E85DA1"/>
    <w:rsid w:val="00EA3C30"/>
    <w:rsid w:val="00EE3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A">
    <w:name w:val="Corpo A"/>
    <w:pPr>
      <w:spacing w:line="480" w:lineRule="auto"/>
      <w:jc w:val="both"/>
    </w:pPr>
    <w:rPr>
      <w:rFonts w:cs="Arial Unicode MS"/>
      <w:color w:val="000000"/>
      <w:sz w:val="24"/>
      <w:szCs w:val="24"/>
      <w:u w:color="000000"/>
    </w:r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PadroA">
    <w:name w:val="Padrão A"/>
    <w:rPr>
      <w:rFonts w:ascii="Helvetica Neue" w:hAnsi="Helvetica Neue" w:cs="Arial Unicode MS"/>
      <w:color w:val="000000"/>
      <w:sz w:val="22"/>
      <w:szCs w:val="22"/>
      <w:u w:color="000000"/>
    </w:rPr>
  </w:style>
  <w:style w:type="paragraph" w:styleId="Ttulo">
    <w:name w:val="Title"/>
    <w:next w:val="CorpoA"/>
    <w:uiPriority w:val="10"/>
    <w:qFormat/>
    <w:pPr>
      <w:keepNext/>
      <w:keepLines/>
      <w:spacing w:before="240" w:line="480" w:lineRule="auto"/>
      <w:jc w:val="both"/>
    </w:pPr>
    <w:rPr>
      <w:rFonts w:cs="Arial Unicode MS"/>
      <w:b/>
      <w:bCs/>
      <w:color w:val="000000"/>
      <w:sz w:val="24"/>
      <w:szCs w:val="24"/>
      <w:u w:color="000000"/>
    </w:rPr>
  </w:style>
  <w:style w:type="paragraph" w:customStyle="1" w:styleId="EstilodeTabela2A">
    <w:name w:val="Estilo de Tabela 2 A"/>
    <w:rPr>
      <w:rFonts w:ascii="Helvetica Neue" w:hAnsi="Helvetica Neue" w:cs="Arial Unicode MS"/>
      <w:color w:val="000000"/>
      <w:u w:color="000000"/>
    </w:rPr>
  </w:style>
  <w:style w:type="character" w:customStyle="1" w:styleId="Nenhum">
    <w:name w:val="Nenhum"/>
  </w:style>
  <w:style w:type="character" w:customStyle="1" w:styleId="Hyperlink0">
    <w:name w:val="Hyperlink.0"/>
    <w:basedOn w:val="Nenhum"/>
    <w:rPr>
      <w:rFonts w:ascii="Times New Roman" w:eastAsia="Times New Roman" w:hAnsi="Times New Roman" w:cs="Times New Roman"/>
      <w:shd w:val="clear" w:color="auto" w:fill="FFFFFF"/>
      <w:lang w:val="en-US"/>
    </w:rPr>
  </w:style>
  <w:style w:type="character" w:customStyle="1" w:styleId="Link">
    <w:name w:val="Link"/>
    <w:rPr>
      <w:color w:val="0000FF"/>
      <w:u w:val="single" w:color="0000FF"/>
    </w:rPr>
  </w:style>
  <w:style w:type="character" w:customStyle="1" w:styleId="Hyperlink1">
    <w:name w:val="Hyperlink.1"/>
    <w:basedOn w:val="Link"/>
    <w:rPr>
      <w:color w:val="000000"/>
      <w:u w:val="none" w:color="0000FF"/>
    </w:rPr>
  </w:style>
  <w:style w:type="character" w:customStyle="1" w:styleId="Hyperlink2">
    <w:name w:val="Hyperlink.2"/>
    <w:basedOn w:val="Nenhum"/>
    <w:rPr>
      <w:rFonts w:ascii="Times New Roman" w:eastAsia="Times New Roman" w:hAnsi="Times New Roman" w:cs="Times New Roman"/>
      <w:shd w:val="clear" w:color="auto" w:fill="FFFFFF"/>
    </w:rPr>
  </w:style>
  <w:style w:type="character" w:customStyle="1" w:styleId="Hyperlink3">
    <w:name w:val="Hyperlink.3"/>
    <w:basedOn w:val="Link"/>
    <w:rPr>
      <w:rFonts w:ascii="Times New Roman" w:eastAsia="Times New Roman" w:hAnsi="Times New Roman" w:cs="Times New Roman"/>
      <w:color w:val="000000"/>
      <w:u w:val="none" w:color="0000FF"/>
    </w:rPr>
  </w:style>
  <w:style w:type="paragraph" w:styleId="Textodeglobo">
    <w:name w:val="Balloon Text"/>
    <w:basedOn w:val="Normal"/>
    <w:link w:val="TextodegloboCar"/>
    <w:uiPriority w:val="99"/>
    <w:semiHidden/>
    <w:unhideWhenUsed/>
    <w:rsid w:val="00091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26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A">
    <w:name w:val="Corpo A"/>
    <w:pPr>
      <w:spacing w:line="480" w:lineRule="auto"/>
      <w:jc w:val="both"/>
    </w:pPr>
    <w:rPr>
      <w:rFonts w:cs="Arial Unicode MS"/>
      <w:color w:val="000000"/>
      <w:sz w:val="24"/>
      <w:szCs w:val="24"/>
      <w:u w:color="000000"/>
    </w:r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PadroA">
    <w:name w:val="Padrão A"/>
    <w:rPr>
      <w:rFonts w:ascii="Helvetica Neue" w:hAnsi="Helvetica Neue" w:cs="Arial Unicode MS"/>
      <w:color w:val="000000"/>
      <w:sz w:val="22"/>
      <w:szCs w:val="22"/>
      <w:u w:color="000000"/>
    </w:rPr>
  </w:style>
  <w:style w:type="paragraph" w:styleId="Ttulo">
    <w:name w:val="Title"/>
    <w:next w:val="CorpoA"/>
    <w:uiPriority w:val="10"/>
    <w:qFormat/>
    <w:pPr>
      <w:keepNext/>
      <w:keepLines/>
      <w:spacing w:before="240" w:line="480" w:lineRule="auto"/>
      <w:jc w:val="both"/>
    </w:pPr>
    <w:rPr>
      <w:rFonts w:cs="Arial Unicode MS"/>
      <w:b/>
      <w:bCs/>
      <w:color w:val="000000"/>
      <w:sz w:val="24"/>
      <w:szCs w:val="24"/>
      <w:u w:color="000000"/>
    </w:rPr>
  </w:style>
  <w:style w:type="paragraph" w:customStyle="1" w:styleId="EstilodeTabela2A">
    <w:name w:val="Estilo de Tabela 2 A"/>
    <w:rPr>
      <w:rFonts w:ascii="Helvetica Neue" w:hAnsi="Helvetica Neue" w:cs="Arial Unicode MS"/>
      <w:color w:val="000000"/>
      <w:u w:color="000000"/>
    </w:rPr>
  </w:style>
  <w:style w:type="character" w:customStyle="1" w:styleId="Nenhum">
    <w:name w:val="Nenhum"/>
  </w:style>
  <w:style w:type="character" w:customStyle="1" w:styleId="Hyperlink0">
    <w:name w:val="Hyperlink.0"/>
    <w:basedOn w:val="Nenhum"/>
    <w:rPr>
      <w:rFonts w:ascii="Times New Roman" w:eastAsia="Times New Roman" w:hAnsi="Times New Roman" w:cs="Times New Roman"/>
      <w:shd w:val="clear" w:color="auto" w:fill="FFFFFF"/>
      <w:lang w:val="en-US"/>
    </w:rPr>
  </w:style>
  <w:style w:type="character" w:customStyle="1" w:styleId="Link">
    <w:name w:val="Link"/>
    <w:rPr>
      <w:color w:val="0000FF"/>
      <w:u w:val="single" w:color="0000FF"/>
    </w:rPr>
  </w:style>
  <w:style w:type="character" w:customStyle="1" w:styleId="Hyperlink1">
    <w:name w:val="Hyperlink.1"/>
    <w:basedOn w:val="Link"/>
    <w:rPr>
      <w:color w:val="000000"/>
      <w:u w:val="none" w:color="0000FF"/>
    </w:rPr>
  </w:style>
  <w:style w:type="character" w:customStyle="1" w:styleId="Hyperlink2">
    <w:name w:val="Hyperlink.2"/>
    <w:basedOn w:val="Nenhum"/>
    <w:rPr>
      <w:rFonts w:ascii="Times New Roman" w:eastAsia="Times New Roman" w:hAnsi="Times New Roman" w:cs="Times New Roman"/>
      <w:shd w:val="clear" w:color="auto" w:fill="FFFFFF"/>
    </w:rPr>
  </w:style>
  <w:style w:type="character" w:customStyle="1" w:styleId="Hyperlink3">
    <w:name w:val="Hyperlink.3"/>
    <w:basedOn w:val="Link"/>
    <w:rPr>
      <w:rFonts w:ascii="Times New Roman" w:eastAsia="Times New Roman" w:hAnsi="Times New Roman" w:cs="Times New Roman"/>
      <w:color w:val="000000"/>
      <w:u w:val="none" w:color="0000FF"/>
    </w:rPr>
  </w:style>
  <w:style w:type="paragraph" w:styleId="Textodeglobo">
    <w:name w:val="Balloon Text"/>
    <w:basedOn w:val="Normal"/>
    <w:link w:val="TextodegloboCar"/>
    <w:uiPriority w:val="99"/>
    <w:semiHidden/>
    <w:unhideWhenUsed/>
    <w:rsid w:val="00091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26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5024</Words>
  <Characters>27633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Leonardo Parachú</cp:lastModifiedBy>
  <cp:revision>3</cp:revision>
  <cp:lastPrinted>2022-07-11T13:01:00Z</cp:lastPrinted>
  <dcterms:created xsi:type="dcterms:W3CDTF">2022-07-11T13:22:00Z</dcterms:created>
  <dcterms:modified xsi:type="dcterms:W3CDTF">2022-07-11T13:45:00Z</dcterms:modified>
</cp:coreProperties>
</file>