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5"/>
        <w:ind w:left="393" w:right="0" w:firstLine="0"/>
        <w:jc w:val="left"/>
        <w:rPr>
          <w:b/>
          <w:sz w:val="22"/>
        </w:rPr>
      </w:pPr>
      <w:r>
        <w:rPr>
          <w:b/>
          <w:sz w:val="22"/>
        </w:rPr>
        <w:t>Editorial</w:t>
      </w:r>
    </w:p>
    <w:p>
      <w:pPr>
        <w:pStyle w:val="BodyText"/>
        <w:spacing w:before="7"/>
        <w:ind w:left="0" w:firstLine="0"/>
        <w:jc w:val="left"/>
        <w:rPr>
          <w:b/>
          <w:sz w:val="21"/>
        </w:rPr>
      </w:pPr>
    </w:p>
    <w:p>
      <w:pPr>
        <w:pStyle w:val="BodyText"/>
        <w:spacing w:line="360" w:lineRule="auto"/>
        <w:ind w:right="104"/>
      </w:pPr>
      <w:r>
        <w:rPr/>
        <w:t>É com imenso orgulho que o PET-História-UFPR apresenta mais uma edição da revista Cadernos de Clio. Com enorme satisfação che- gamos ao oitavo ano de publicação dessa revista.</w:t>
      </w:r>
    </w:p>
    <w:p>
      <w:pPr>
        <w:pStyle w:val="BodyText"/>
        <w:spacing w:line="360" w:lineRule="auto" w:before="2"/>
        <w:ind w:right="106"/>
      </w:pPr>
      <w:r>
        <w:rPr/>
        <w:t>Nesta edição, apresentamos cinco artigos e duas resenhas de te- máticas variadas, abarcando diversas temporalidades e objetos de estu- dos. Um aspecto em especial nos traz bastante satisfação: a diversifica- ção de origens dos artigos e resenhas. Neste número, temos artigos pro- venientes de universidades diferentes, espalhadas pelo Brasil, demons- trando a relevância da revista Cadernos de Clio.</w:t>
      </w:r>
    </w:p>
    <w:p>
      <w:pPr>
        <w:pStyle w:val="BodyText"/>
        <w:spacing w:line="360" w:lineRule="auto"/>
        <w:ind w:right="107"/>
      </w:pPr>
      <w:r>
        <w:rPr/>
        <w:t>O artigo que abre esta edição, “As relações de apropriação do passado celta e da figura de Boadiceia”, de </w:t>
      </w:r>
      <w:r>
        <w:rPr>
          <w:b/>
        </w:rPr>
        <w:t>Thaís Cattani Perroni </w:t>
      </w:r>
      <w:r>
        <w:rPr/>
        <w:t>e </w:t>
      </w:r>
      <w:r>
        <w:rPr>
          <w:b/>
        </w:rPr>
        <w:t>Pricyla Weber</w:t>
      </w:r>
      <w:r>
        <w:rPr/>
        <w:t>, procura analisar como a religião celta foi ressignificada ao longo dos séculos.</w:t>
      </w:r>
    </w:p>
    <w:p>
      <w:pPr>
        <w:pStyle w:val="BodyText"/>
        <w:spacing w:line="360" w:lineRule="auto" w:before="1"/>
        <w:ind w:right="106"/>
      </w:pPr>
      <w:r>
        <w:rPr/>
        <w:t>Na sequência, o artigo “Entre o sentimento religioso e o racional: Experiência de estágio sobre o povo hebreu e independência dos Esta- dos Unidos”, de autoria de </w:t>
      </w:r>
      <w:r>
        <w:rPr>
          <w:b/>
        </w:rPr>
        <w:t>Gabriel Irinei Covalchuk</w:t>
      </w:r>
      <w:r>
        <w:rPr/>
        <w:t>, analisa o papel do professor dentro da sala de aula, bem como a maneira que as normas do NRE (Núcleo Regional de Educação) afetam os conteúdos ministra- dos.</w:t>
      </w:r>
    </w:p>
    <w:p>
      <w:pPr>
        <w:pStyle w:val="BodyText"/>
        <w:spacing w:line="360" w:lineRule="auto"/>
        <w:ind w:right="105"/>
      </w:pPr>
      <w:r>
        <w:rPr/>
        <w:t>O terceiro artigo dessa edição de Cadernos de Clio tem como títu- lo “Feminismo e empoderamento da mulher na sociedade brasileira”. Neste, a autora, </w:t>
      </w:r>
      <w:r>
        <w:rPr>
          <w:b/>
        </w:rPr>
        <w:t>Wédja Roberta Moura Matia</w:t>
      </w:r>
      <w:r>
        <w:rPr/>
        <w:t>, trabalha com a história do movimento feminista no Brasil, principalmente elementos que en-</w:t>
      </w:r>
    </w:p>
    <w:p>
      <w:pPr>
        <w:spacing w:after="0" w:line="360" w:lineRule="auto"/>
        <w:sectPr>
          <w:footerReference w:type="default" r:id="rId5"/>
          <w:type w:val="continuous"/>
          <w:pgSz w:w="8400" w:h="11910"/>
          <w:pgMar w:footer="504" w:top="1060" w:bottom="700" w:left="740" w:right="740"/>
          <w:pgNumType w:start="5"/>
        </w:sectPr>
      </w:pPr>
    </w:p>
    <w:p>
      <w:pPr>
        <w:pStyle w:val="BodyText"/>
        <w:spacing w:line="362" w:lineRule="auto" w:before="80"/>
        <w:ind w:left="112" w:right="387" w:firstLine="0"/>
      </w:pPr>
      <w:r>
        <w:rPr/>
        <w:t>volvam subsídios de empoderamento, além de procurar descrevê-los sob uma ótica feminista.</w:t>
      </w:r>
    </w:p>
    <w:p>
      <w:pPr>
        <w:pStyle w:val="BodyText"/>
        <w:spacing w:line="360" w:lineRule="auto"/>
        <w:ind w:left="112" w:right="387"/>
      </w:pPr>
      <w:r>
        <w:rPr/>
        <w:t>No artigo seguinte, “O cinema, as transformações históricas e o filme </w:t>
      </w:r>
      <w:r>
        <w:rPr>
          <w:i/>
        </w:rPr>
        <w:t>As Horas</w:t>
      </w:r>
      <w:r>
        <w:rPr/>
        <w:t>”, </w:t>
      </w:r>
      <w:r>
        <w:rPr>
          <w:b/>
        </w:rPr>
        <w:t>Mariana Fujikawa </w:t>
      </w:r>
      <w:r>
        <w:rPr/>
        <w:t>analisa como as relações de gêne- ro mostravam-se presentes nas personagens do filme </w:t>
      </w:r>
      <w:r>
        <w:rPr>
          <w:i/>
        </w:rPr>
        <w:t>As Horas</w:t>
      </w:r>
      <w:r>
        <w:rPr/>
        <w:t>.</w:t>
      </w:r>
    </w:p>
    <w:p>
      <w:pPr>
        <w:pStyle w:val="BodyText"/>
        <w:spacing w:line="360" w:lineRule="auto"/>
        <w:ind w:left="112" w:right="388"/>
      </w:pPr>
      <w:r>
        <w:rPr/>
        <w:t>Finalmente, o último título da seção de artigos é “Os conceitos de História de Marx e Engels, à Revolução Russa: consciência, vida mate- rial e luta de classes”, de </w:t>
      </w:r>
      <w:r>
        <w:rPr>
          <w:b/>
        </w:rPr>
        <w:t>Lucas Tubino Pianta</w:t>
      </w:r>
      <w:r>
        <w:rPr/>
        <w:t>, que investiga a atuação de Trotsky e Stalin enquanto historiadores.</w:t>
      </w:r>
    </w:p>
    <w:p>
      <w:pPr>
        <w:spacing w:line="360" w:lineRule="auto" w:before="0"/>
        <w:ind w:left="112" w:right="385" w:firstLine="566"/>
        <w:jc w:val="right"/>
        <w:rPr>
          <w:sz w:val="22"/>
        </w:rPr>
      </w:pPr>
      <w:r>
        <w:rPr>
          <w:sz w:val="22"/>
        </w:rPr>
        <w:t>Apresentamos também duas resenhas de publicações recentes,</w:t>
      </w:r>
      <w:r>
        <w:rPr>
          <w:w w:val="100"/>
          <w:sz w:val="22"/>
        </w:rPr>
        <w:t> </w:t>
      </w:r>
      <w:r>
        <w:rPr>
          <w:sz w:val="22"/>
        </w:rPr>
        <w:t>ambas sobre temas relacionados à história da África. </w:t>
      </w:r>
      <w:r>
        <w:rPr>
          <w:b/>
          <w:sz w:val="22"/>
        </w:rPr>
        <w:t>Eleonora Beatriz</w:t>
      </w:r>
      <w:r>
        <w:rPr>
          <w:b/>
          <w:w w:val="100"/>
          <w:sz w:val="22"/>
        </w:rPr>
        <w:t> </w:t>
      </w:r>
      <w:r>
        <w:rPr>
          <w:b/>
          <w:sz w:val="22"/>
        </w:rPr>
        <w:t>Ramina Apolinário</w:t>
      </w:r>
      <w:r>
        <w:rPr>
          <w:sz w:val="22"/>
        </w:rPr>
        <w:t>, </w:t>
      </w:r>
      <w:r>
        <w:rPr>
          <w:b/>
          <w:sz w:val="22"/>
        </w:rPr>
        <w:t>Giulia Aniceski Manfredini</w:t>
      </w:r>
      <w:r>
        <w:rPr>
          <w:sz w:val="22"/>
        </w:rPr>
        <w:t>, </w:t>
      </w:r>
      <w:r>
        <w:rPr>
          <w:b/>
          <w:sz w:val="22"/>
        </w:rPr>
        <w:t>Marcelo Augusto</w:t>
      </w:r>
      <w:r>
        <w:rPr>
          <w:b/>
          <w:w w:val="100"/>
          <w:sz w:val="22"/>
        </w:rPr>
        <w:t> </w:t>
      </w:r>
      <w:r>
        <w:rPr>
          <w:b/>
          <w:sz w:val="22"/>
        </w:rPr>
        <w:t>Farias Martins</w:t>
      </w:r>
      <w:r>
        <w:rPr>
          <w:sz w:val="22"/>
        </w:rPr>
        <w:t>, </w:t>
      </w:r>
      <w:r>
        <w:rPr>
          <w:b/>
          <w:sz w:val="22"/>
        </w:rPr>
        <w:t>Mariana Mehl Gralak</w:t>
      </w:r>
      <w:r>
        <w:rPr>
          <w:sz w:val="22"/>
        </w:rPr>
        <w:t>, </w:t>
      </w:r>
      <w:r>
        <w:rPr>
          <w:b/>
          <w:sz w:val="22"/>
        </w:rPr>
        <w:t>Rebeca Nogueira Vilodres</w:t>
      </w:r>
      <w:r>
        <w:rPr>
          <w:b/>
          <w:w w:val="100"/>
          <w:sz w:val="22"/>
        </w:rPr>
        <w:t> </w:t>
      </w:r>
      <w:r>
        <w:rPr>
          <w:sz w:val="22"/>
        </w:rPr>
        <w:t>analisam o livro </w:t>
      </w:r>
      <w:r>
        <w:rPr>
          <w:i/>
          <w:sz w:val="22"/>
        </w:rPr>
        <w:t>A Consciência Histórica Africana</w:t>
      </w:r>
      <w:r>
        <w:rPr>
          <w:sz w:val="22"/>
        </w:rPr>
        <w:t>, organizado por Ba-</w:t>
      </w:r>
      <w:r>
        <w:rPr>
          <w:w w:val="100"/>
          <w:sz w:val="22"/>
        </w:rPr>
        <w:t> </w:t>
      </w:r>
      <w:r>
        <w:rPr>
          <w:sz w:val="22"/>
        </w:rPr>
        <w:t>bacar Mbaye Diop e Doudou Dieng, enquanto a resenha de </w:t>
      </w:r>
      <w:r>
        <w:rPr>
          <w:b/>
          <w:sz w:val="22"/>
        </w:rPr>
        <w:t>Suellen</w:t>
      </w:r>
      <w:r>
        <w:rPr>
          <w:b/>
          <w:w w:val="100"/>
          <w:sz w:val="22"/>
        </w:rPr>
        <w:t> </w:t>
      </w:r>
      <w:r>
        <w:rPr>
          <w:b/>
          <w:sz w:val="22"/>
        </w:rPr>
        <w:t>Carolyne Precinotto </w:t>
      </w:r>
      <w:r>
        <w:rPr>
          <w:sz w:val="22"/>
        </w:rPr>
        <w:t>discorre sobre </w:t>
      </w:r>
      <w:r>
        <w:rPr>
          <w:i/>
          <w:sz w:val="22"/>
        </w:rPr>
        <w:t>Guerra Santa e Escravidão</w:t>
      </w:r>
      <w:r>
        <w:rPr>
          <w:sz w:val="22"/>
        </w:rPr>
        <w:t>: uma</w:t>
      </w:r>
      <w:r>
        <w:rPr>
          <w:w w:val="100"/>
          <w:sz w:val="22"/>
        </w:rPr>
        <w:t> </w:t>
      </w:r>
      <w:r>
        <w:rPr>
          <w:sz w:val="22"/>
        </w:rPr>
        <w:t>história da conquista colonial do Sudão (1881-1898)</w:t>
      </w:r>
      <w:r>
        <w:rPr>
          <w:i/>
          <w:sz w:val="22"/>
        </w:rPr>
        <w:t>, </w:t>
      </w:r>
      <w:r>
        <w:rPr>
          <w:sz w:val="22"/>
        </w:rPr>
        <w:t>de Patricia Santos.</w:t>
      </w:r>
      <w:r>
        <w:rPr>
          <w:w w:val="100"/>
          <w:sz w:val="22"/>
        </w:rPr>
        <w:t> </w:t>
      </w:r>
      <w:r>
        <w:rPr>
          <w:sz w:val="22"/>
        </w:rPr>
        <w:t>Por fim, temos a nota de pesquisa “‘Mais tesão, menos encuca-</w:t>
      </w:r>
    </w:p>
    <w:p>
      <w:pPr>
        <w:spacing w:line="360" w:lineRule="auto" w:before="0"/>
        <w:ind w:left="112" w:right="386" w:firstLine="0"/>
        <w:jc w:val="both"/>
        <w:rPr>
          <w:sz w:val="22"/>
        </w:rPr>
      </w:pPr>
      <w:r>
        <w:rPr>
          <w:sz w:val="22"/>
        </w:rPr>
        <w:t>ção’: O Lampião da Esquina e a homossexualidade no final da ditadu- ra”, escrita por </w:t>
      </w:r>
      <w:r>
        <w:rPr>
          <w:b/>
          <w:sz w:val="22"/>
        </w:rPr>
        <w:t>Aguinaldo Henrique Garcia de Gouveia</w:t>
      </w:r>
      <w:r>
        <w:rPr>
          <w:sz w:val="22"/>
        </w:rPr>
        <w:t>, </w:t>
      </w:r>
      <w:r>
        <w:rPr>
          <w:b/>
          <w:sz w:val="22"/>
        </w:rPr>
        <w:t>Lauriane dos Santos Rosa</w:t>
      </w:r>
      <w:r>
        <w:rPr>
          <w:sz w:val="22"/>
        </w:rPr>
        <w:t>, </w:t>
      </w:r>
      <w:r>
        <w:rPr>
          <w:b/>
          <w:sz w:val="22"/>
        </w:rPr>
        <w:t>Lucas Engel Sacht</w:t>
      </w:r>
      <w:r>
        <w:rPr>
          <w:sz w:val="22"/>
        </w:rPr>
        <w:t>, </w:t>
      </w:r>
      <w:r>
        <w:rPr>
          <w:b/>
          <w:sz w:val="22"/>
        </w:rPr>
        <w:t>Mariana Fujikawa</w:t>
      </w:r>
      <w:r>
        <w:rPr>
          <w:sz w:val="22"/>
        </w:rPr>
        <w:t>. Que apre- senta alguns resultados da pesquisa coletiva sobre a revista Lampião da Esquina desenvolvida pelo grupo PET História UFPR no ano de</w:t>
      </w:r>
      <w:r>
        <w:rPr>
          <w:spacing w:val="-12"/>
          <w:sz w:val="22"/>
        </w:rPr>
        <w:t> </w:t>
      </w:r>
      <w:r>
        <w:rPr>
          <w:sz w:val="22"/>
        </w:rPr>
        <w:t>2016.</w:t>
      </w:r>
    </w:p>
    <w:p>
      <w:pPr>
        <w:pStyle w:val="BodyText"/>
        <w:spacing w:line="360" w:lineRule="auto"/>
        <w:ind w:left="112" w:right="388"/>
      </w:pPr>
      <w:r>
        <w:rPr/>
        <w:t>Esperamos que o primeiro número deste oitavo volume da revista Cadernos de Clio agrade aos leitores, sejam eles universitários ou não,</w:t>
      </w:r>
    </w:p>
    <w:p>
      <w:pPr>
        <w:spacing w:after="0" w:line="360" w:lineRule="auto"/>
        <w:sectPr>
          <w:pgSz w:w="8400" w:h="11910"/>
          <w:pgMar w:header="0" w:footer="504" w:top="1040" w:bottom="700" w:left="740" w:right="740"/>
        </w:sectPr>
      </w:pPr>
    </w:p>
    <w:p>
      <w:pPr>
        <w:pStyle w:val="BodyText"/>
        <w:spacing w:line="362" w:lineRule="auto" w:before="80"/>
        <w:ind w:firstLine="0"/>
        <w:jc w:val="left"/>
      </w:pPr>
      <w:r>
        <w:rPr/>
        <w:t>consolidando a revista como um espaço de discussão historiográfica de qualidade e espaço de divulgação de trabalhos de graduandos.</w:t>
      </w:r>
    </w:p>
    <w:p>
      <w:pPr>
        <w:pStyle w:val="BodyText"/>
        <w:spacing w:line="360" w:lineRule="auto"/>
        <w:jc w:val="left"/>
      </w:pPr>
      <w:r>
        <w:rPr/>
        <w:t>Lembramos também que a revista está aberta ao recebimento de artigos, resenhas e notas de pesquisa sob fluxo contínuo.</w:t>
      </w:r>
    </w:p>
    <w:p>
      <w:pPr>
        <w:pStyle w:val="BodyText"/>
        <w:spacing w:line="252" w:lineRule="exact"/>
        <w:ind w:left="959" w:firstLine="0"/>
        <w:jc w:val="left"/>
      </w:pPr>
      <w:r>
        <w:rPr/>
        <w:t>Boa leitura!</w:t>
      </w:r>
    </w:p>
    <w:p>
      <w:pPr>
        <w:pStyle w:val="BodyText"/>
        <w:spacing w:before="7"/>
        <w:ind w:left="0" w:firstLine="0"/>
        <w:jc w:val="left"/>
        <w:rPr>
          <w:sz w:val="32"/>
        </w:rPr>
      </w:pPr>
    </w:p>
    <w:p>
      <w:pPr>
        <w:pStyle w:val="BodyText"/>
        <w:spacing w:line="380" w:lineRule="atLeast" w:before="1"/>
        <w:ind w:left="5163" w:right="106" w:firstLine="91"/>
        <w:jc w:val="right"/>
      </w:pPr>
      <w:r>
        <w:rPr/>
        <w:t>Outubro</w:t>
      </w:r>
      <w:r>
        <w:rPr>
          <w:spacing w:val="-3"/>
        </w:rPr>
        <w:t> </w:t>
      </w:r>
      <w:r>
        <w:rPr/>
        <w:t>de</w:t>
      </w:r>
      <w:r>
        <w:rPr>
          <w:spacing w:val="1"/>
        </w:rPr>
        <w:t> </w:t>
      </w:r>
      <w:r>
        <w:rPr/>
        <w:t>2018,</w:t>
      </w:r>
      <w:r>
        <w:rPr>
          <w:w w:val="100"/>
        </w:rPr>
        <w:t> </w:t>
      </w:r>
      <w:r>
        <w:rPr/>
        <w:t>Lucas Engel</w:t>
      </w:r>
      <w:r>
        <w:rPr>
          <w:spacing w:val="-3"/>
        </w:rPr>
        <w:t> </w:t>
      </w:r>
      <w:r>
        <w:rPr/>
        <w:t>Sacht</w:t>
      </w:r>
    </w:p>
    <w:p>
      <w:pPr>
        <w:pStyle w:val="BodyText"/>
        <w:spacing w:before="1"/>
        <w:ind w:left="0" w:right="109" w:firstLine="0"/>
        <w:jc w:val="right"/>
      </w:pPr>
      <w:r>
        <w:rPr/>
        <w:t>Mayume Christine</w:t>
      </w:r>
      <w:r>
        <w:rPr>
          <w:spacing w:val="-9"/>
        </w:rPr>
        <w:t> </w:t>
      </w:r>
      <w:r>
        <w:rPr/>
        <w:t>Minatogawa</w:t>
      </w:r>
    </w:p>
    <w:sectPr>
      <w:footerReference w:type="default" r:id="rId6"/>
      <w:pgSz w:w="8400" w:h="11910"/>
      <w:pgMar w:footer="504" w:header="0" w:top="1040" w:bottom="700" w:left="74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/>
      <w:pict>
        <v:group style="position:absolute;margin-left:0pt;margin-top:556.125pt;width:419.55pt;height:21.05pt;mso-position-horizontal-relative:page;mso-position-vertical-relative:page;z-index:-2656" coordorigin="0,11123" coordsize="8391,421">
          <v:line style="position:absolute" from="0,11340" to="8390,11340" stroked="true" strokeweight="1pt" strokecolor="#808080">
            <v:stroke dashstyle="solid"/>
          </v:line>
          <v:shape style="position:absolute;left:4048;top:11145;width:587;height:376" coordorigin="4048,11145" coordsize="587,376" path="m4572,11145l4111,11145,4086,11150,4066,11163,4053,11183,4048,11208,4048,11458,4053,11483,4066,11503,4086,11516,4111,11521,4572,11521,4597,11516,4617,11503,4630,11483,4635,11458,4635,11208,4630,11183,4617,11163,4597,11150,4572,11145xe" filled="true" fillcolor="#ffffff" stroked="false">
            <v:path arrowok="t"/>
            <v:fill type="solid"/>
          </v:shape>
          <v:shape style="position:absolute;left:4048;top:11145;width:587;height:376" coordorigin="4048,11145" coordsize="587,376" path="m4111,11145l4086,11150,4066,11163,4053,11183,4048,11208,4048,11458,4053,11483,4066,11503,4086,11516,4111,11521m4572,11145l4597,11150,4617,11163,4630,11183,4635,11208,4635,11458,4630,11483,4617,11503,4597,11516,4572,11521e" filled="false" stroked="true" strokeweight="2.25pt" strokecolor="#808080">
            <v:path arrowok="t"/>
            <v:stroke dashstyle="solid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12.130005pt;margin-top:558.762634pt;width:10pt;height:15.3pt;mso-position-horizontal-relative:page;mso-position-vertical-relative:page;z-index:-2632" type="#_x0000_t202" filled="false" stroked="false">
          <v:textbox inset="0,0,0,0">
            <w:txbxContent>
              <w:p>
                <w:pPr>
                  <w:spacing w:before="10"/>
                  <w:ind w:left="40" w:right="0" w:firstLine="0"/>
                  <w:jc w:val="left"/>
                  <w:rPr>
                    <w:sz w:val="24"/>
                  </w:rPr>
                </w:pPr>
                <w:r>
                  <w:rPr/>
                  <w:fldChar w:fldCharType="begin"/>
                </w:r>
                <w:r>
                  <w:rPr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/>
      <w:pict>
        <v:group style="position:absolute;margin-left:0pt;margin-top:556.125pt;width:419.55pt;height:21.05pt;mso-position-horizontal-relative:page;mso-position-vertical-relative:page;z-index:-2608" coordorigin="0,11123" coordsize="8391,421">
          <v:line style="position:absolute" from="0,11340" to="8390,11340" stroked="true" strokeweight="1pt" strokecolor="#808080">
            <v:stroke dashstyle="solid"/>
          </v:line>
          <v:shape style="position:absolute;left:4048;top:11145;width:587;height:376" coordorigin="4048,11145" coordsize="587,376" path="m4572,11145l4111,11145,4086,11150,4066,11163,4053,11183,4048,11208,4048,11458,4053,11483,4066,11503,4086,11516,4111,11521,4572,11521,4597,11516,4617,11503,4630,11483,4635,11458,4635,11208,4630,11183,4617,11163,4597,11150,4572,11145xe" filled="true" fillcolor="#ffffff" stroked="false">
            <v:path arrowok="t"/>
            <v:fill type="solid"/>
          </v:shape>
          <v:shape style="position:absolute;left:4048;top:11145;width:587;height:376" coordorigin="4048,11145" coordsize="587,376" path="m4111,11145l4086,11150,4066,11163,4053,11183,4048,11208,4048,11458,4053,11483,4066,11503,4086,11516,4111,11521m4572,11145l4597,11150,4617,11163,4630,11183,4635,11208,4635,11458,4630,11483,4617,11503,4597,11516,4572,11521e" filled="false" stroked="true" strokeweight="2.25pt" strokecolor="#808080">
            <v:path arrowok="t"/>
            <v:stroke dashstyle="solid"/>
          </v:shape>
          <w10:wrap type="none"/>
        </v:group>
      </w:pict>
    </w:r>
    <w:r>
      <w:rPr/>
      <w:pict>
        <v:shape style="position:absolute;margin-left:213.130005pt;margin-top:558.762634pt;width:8pt;height:15.3pt;mso-position-horizontal-relative:page;mso-position-vertical-relative:page;z-index:-258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4"/>
                  </w:rPr>
                </w:pPr>
                <w:r>
                  <w:rPr>
                    <w:sz w:val="24"/>
                  </w:rPr>
                  <w:t>7</w:t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br" w:eastAsia="pt-br" w:bidi="pt-br"/>
    </w:rPr>
  </w:style>
  <w:style w:styleId="BodyText" w:type="paragraph">
    <w:name w:val="Body Text"/>
    <w:basedOn w:val="Normal"/>
    <w:uiPriority w:val="1"/>
    <w:qFormat/>
    <w:pPr>
      <w:ind w:left="393" w:firstLine="566"/>
      <w:jc w:val="both"/>
    </w:pPr>
    <w:rPr>
      <w:rFonts w:ascii="Times New Roman" w:hAnsi="Times New Roman" w:eastAsia="Times New Roman" w:cs="Times New Roman"/>
      <w:sz w:val="22"/>
      <w:szCs w:val="22"/>
      <w:lang w:val="pt-br" w:eastAsia="pt-br" w:bidi="pt-br"/>
    </w:rPr>
  </w:style>
  <w:style w:styleId="ListParagraph" w:type="paragraph">
    <w:name w:val="List Paragraph"/>
    <w:basedOn w:val="Normal"/>
    <w:uiPriority w:val="1"/>
    <w:qFormat/>
    <w:pPr/>
    <w:rPr>
      <w:lang w:val="pt-br" w:eastAsia="pt-br" w:bidi="pt-br"/>
    </w:rPr>
  </w:style>
  <w:style w:styleId="TableParagraph" w:type="paragraph">
    <w:name w:val="Table Paragraph"/>
    <w:basedOn w:val="Normal"/>
    <w:uiPriority w:val="1"/>
    <w:qFormat/>
    <w:pPr/>
    <w:rPr>
      <w:lang w:val="pt-br" w:eastAsia="pt-br" w:bidi="pt-br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 História</dc:creator>
  <dcterms:created xsi:type="dcterms:W3CDTF">2018-11-10T13:17:57Z</dcterms:created>
  <dcterms:modified xsi:type="dcterms:W3CDTF">2018-11-10T13:17:57Z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2018-11-10T00:00:00Z</vt:filetime>
  </property>
</Properties>
</file>